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4B35B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D6D2CA" w14:textId="77777777" w:rsidR="00000000" w:rsidRDefault="00000000">
            <w:pPr>
              <w:spacing w:before="120"/>
              <w:jc w:val="center"/>
            </w:pPr>
            <w:r>
              <w:rPr>
                <w:b/>
                <w:bCs/>
                <w:shd w:val="solid" w:color="FFFFFF" w:fill="auto"/>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615D76"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782D105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6574ECA" w14:textId="77777777" w:rsidR="00000000" w:rsidRDefault="00000000">
            <w:pPr>
              <w:spacing w:before="120"/>
              <w:jc w:val="center"/>
            </w:pPr>
            <w:r>
              <w:rPr>
                <w:shd w:val="solid" w:color="FFFFFF" w:fill="auto"/>
                <w:lang w:val="vi-VN"/>
              </w:rPr>
              <w:t>Số: 80/2022/NĐ-CP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E76A1E2" w14:textId="77777777" w:rsidR="00000000" w:rsidRDefault="00000000">
            <w:pPr>
              <w:spacing w:before="120"/>
              <w:jc w:val="right"/>
            </w:pPr>
            <w:r>
              <w:rPr>
                <w:i/>
                <w:iCs/>
                <w:shd w:val="solid" w:color="FFFFFF" w:fill="auto"/>
                <w:lang w:val="vi-VN"/>
              </w:rPr>
              <w:t>Hà Nội, ngày 13 tháng 10 năm 2022</w:t>
            </w:r>
          </w:p>
        </w:tc>
      </w:tr>
    </w:tbl>
    <w:p w14:paraId="73DA1255" w14:textId="77777777" w:rsidR="00000000" w:rsidRDefault="00000000">
      <w:pPr>
        <w:spacing w:before="120" w:after="280" w:afterAutospacing="1"/>
      </w:pPr>
      <w:r>
        <w:rPr>
          <w:shd w:val="solid" w:color="FFFFFF" w:fill="auto"/>
        </w:rPr>
        <w:t> </w:t>
      </w:r>
    </w:p>
    <w:p w14:paraId="0FFE309B" w14:textId="77777777" w:rsidR="00000000" w:rsidRDefault="00000000">
      <w:pPr>
        <w:spacing w:before="120" w:after="280" w:afterAutospacing="1"/>
        <w:jc w:val="center"/>
      </w:pPr>
      <w:r>
        <w:rPr>
          <w:b/>
          <w:bCs/>
          <w:shd w:val="solid" w:color="FFFFFF" w:fill="auto"/>
          <w:lang w:val="vi-VN"/>
        </w:rPr>
        <w:t>NGHỊ ĐỊNH</w:t>
      </w:r>
    </w:p>
    <w:p w14:paraId="259B692D" w14:textId="77777777" w:rsidR="00000000" w:rsidRDefault="00000000">
      <w:pPr>
        <w:spacing w:before="120" w:after="280" w:afterAutospacing="1"/>
        <w:jc w:val="center"/>
      </w:pPr>
      <w:r>
        <w:rPr>
          <w:shd w:val="solid" w:color="FFFFFF" w:fill="auto"/>
          <w:lang w:val="vi-VN"/>
        </w:rPr>
        <w:t>SỬA ĐỔI, BỔ SUNG MỘT SỐ ĐIỀU CỦA NGHỊ ĐỊNH SỐ 35/2016/NĐ-CP NGÀY 15 THÁNG 5 NĂM 2016 CỦA CHÍNH PHỦ QUY ĐỊNH CHI TIẾT MỘT SỐ ĐIỀU CỦA LUẬT THÚ Y</w:t>
      </w:r>
    </w:p>
    <w:p w14:paraId="561EA608" w14:textId="77777777" w:rsidR="00000000" w:rsidRDefault="00000000">
      <w:pPr>
        <w:spacing w:before="120" w:after="280" w:afterAutospacing="1"/>
      </w:pPr>
      <w:r>
        <w:rPr>
          <w:i/>
          <w:iCs/>
          <w:shd w:val="solid" w:color="FFFFFF" w:fill="auto"/>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70D47412" w14:textId="77777777" w:rsidR="00000000" w:rsidRDefault="00000000">
      <w:pPr>
        <w:spacing w:before="120" w:after="280" w:afterAutospacing="1"/>
      </w:pPr>
      <w:r>
        <w:rPr>
          <w:i/>
          <w:iCs/>
          <w:shd w:val="solid" w:color="FFFFFF" w:fill="auto"/>
          <w:lang w:val="vi-VN"/>
        </w:rPr>
        <w:t>Căn cứ Luật Thú y ngày 19 tháng 6 năm 2015;</w:t>
      </w:r>
    </w:p>
    <w:p w14:paraId="2175B759" w14:textId="77777777" w:rsidR="00000000" w:rsidRDefault="00000000">
      <w:pPr>
        <w:spacing w:before="120" w:after="280" w:afterAutospacing="1"/>
      </w:pPr>
      <w:r>
        <w:rPr>
          <w:i/>
          <w:iCs/>
          <w:shd w:val="solid" w:color="FFFFFF" w:fill="auto"/>
          <w:lang w:val="vi-VN"/>
        </w:rPr>
        <w:t>Theo đề nghị của Bộ trưởng Bộ Nông nghiệp và Phát triển nông thôn;</w:t>
      </w:r>
    </w:p>
    <w:p w14:paraId="3C079EE2" w14:textId="77777777" w:rsidR="00000000" w:rsidRDefault="00000000">
      <w:pPr>
        <w:spacing w:before="120" w:after="280" w:afterAutospacing="1"/>
      </w:pPr>
      <w:r>
        <w:rPr>
          <w:i/>
          <w:iCs/>
          <w:shd w:val="solid" w:color="FFFFFF" w:fill="auto"/>
          <w:lang w:val="vi-VN"/>
        </w:rPr>
        <w:t>Chính phủ ban hành Nghị định sửa đổi, bổ sung một số điều của Nghị định số 35/2016/NĐ-CP ngày 15 tháng 5 năm 2016 của Chính phủ quy định chi tiết một số điều của Luật Thú y.</w:t>
      </w:r>
    </w:p>
    <w:p w14:paraId="0B671DDF" w14:textId="77777777" w:rsidR="00000000" w:rsidRDefault="00000000">
      <w:pPr>
        <w:spacing w:before="120" w:after="280" w:afterAutospacing="1"/>
      </w:pPr>
      <w:r>
        <w:rPr>
          <w:b/>
          <w:bCs/>
          <w:shd w:val="solid" w:color="FFFFFF" w:fill="auto"/>
          <w:lang w:val="vi-VN"/>
        </w:rPr>
        <w:t>Điều 1. Sửa đổi, bổ sung một số điều của Nghị định số 35/2016/NĐ-CP ngày 15 tháng 5 năm 2016 của Chính phủ quy định chi tiết một số điều của Luật Thú y</w:t>
      </w:r>
    </w:p>
    <w:p w14:paraId="0DF1985B" w14:textId="77777777" w:rsidR="00000000" w:rsidRDefault="00000000">
      <w:pPr>
        <w:spacing w:before="120" w:after="280" w:afterAutospacing="1"/>
      </w:pPr>
      <w:bookmarkStart w:id="0" w:name="bookmark0"/>
      <w:r>
        <w:rPr>
          <w:shd w:val="solid" w:color="FFFFFF" w:fill="auto"/>
          <w:lang w:val="vi-VN"/>
        </w:rPr>
        <w:t>1</w:t>
      </w:r>
      <w:bookmarkEnd w:id="0"/>
      <w:r>
        <w:rPr>
          <w:shd w:val="solid" w:color="FFFFFF" w:fill="auto"/>
          <w:lang w:val="vi-VN"/>
        </w:rPr>
        <w:t>. Sửa đổi, bổ sung điểm a khoản 2 Điều 14 như sau:</w:t>
      </w:r>
    </w:p>
    <w:p w14:paraId="086E9236" w14:textId="77777777" w:rsidR="00000000" w:rsidRDefault="00000000">
      <w:pPr>
        <w:spacing w:before="120" w:after="280" w:afterAutospacing="1"/>
      </w:pPr>
      <w:r>
        <w:rPr>
          <w:shd w:val="solid" w:color="FFFFFF" w:fill="auto"/>
        </w:rPr>
        <w:t xml:space="preserve">“a) </w:t>
      </w:r>
      <w:r>
        <w:rPr>
          <w:shd w:val="solid" w:color="FFFFFF" w:fill="auto"/>
          <w:lang w:val="vi-VN"/>
        </w:rPr>
        <w:t>Tổ chức, cá nhân gửi 01 bộ hồ sơ đăng ký cấp Giấy chứng nhận GMP tới Cục Thú y theo một trong các hình thức: trực tuyến hoặc qua dịch vụ bưu chính hoặc trực tiếp. Trong thời hạn 10 ngày kể từ ngày tiếp nhận hồ sơ đăng ký, Cục Thú y thẩm định hồ sơ hoặc có văn bản yêu cầu sửa đổi, bổ sung nếu hồ sơ không đạt yêu cầu;”</w:t>
      </w:r>
    </w:p>
    <w:p w14:paraId="14EBC91B" w14:textId="77777777" w:rsidR="00000000" w:rsidRDefault="00000000">
      <w:pPr>
        <w:spacing w:before="120" w:after="280" w:afterAutospacing="1"/>
      </w:pPr>
      <w:bookmarkStart w:id="1" w:name="bookmark1"/>
      <w:r>
        <w:rPr>
          <w:shd w:val="solid" w:color="FFFFFF" w:fill="auto"/>
          <w:lang w:val="vi-VN"/>
        </w:rPr>
        <w:t>2</w:t>
      </w:r>
      <w:bookmarkEnd w:id="1"/>
      <w:r>
        <w:rPr>
          <w:shd w:val="solid" w:color="FFFFFF" w:fill="auto"/>
          <w:lang w:val="vi-VN"/>
        </w:rPr>
        <w:t>. Sửa đổi, bổ sung khoản 1 Điều 15 như sau:</w:t>
      </w:r>
    </w:p>
    <w:p w14:paraId="348EE015" w14:textId="77777777" w:rsidR="00000000" w:rsidRDefault="00000000">
      <w:pPr>
        <w:spacing w:before="120" w:after="280" w:afterAutospacing="1"/>
      </w:pPr>
      <w:r>
        <w:rPr>
          <w:shd w:val="solid" w:color="FFFFFF" w:fill="auto"/>
          <w:lang w:val="vi-VN"/>
        </w:rPr>
        <w:t>“1. Tổ chức, cá nhân gửi 01 bộ hồ sơ đăng ký gia hạn Giấy chứng nhận GMP tới Cục Thú y theo một trong các hình thức: trực tuyến hoặc qua dịch vụ bưu chính hoặc trực tiếp. Hồ sơ gồm bản chính các tài liệu sau:</w:t>
      </w:r>
    </w:p>
    <w:p w14:paraId="68376636" w14:textId="77777777" w:rsidR="00000000" w:rsidRDefault="00000000">
      <w:pPr>
        <w:spacing w:before="120" w:after="280" w:afterAutospacing="1"/>
      </w:pPr>
      <w:bookmarkStart w:id="2" w:name="bookmark2"/>
      <w:r>
        <w:rPr>
          <w:shd w:val="solid" w:color="FFFFFF" w:fill="auto"/>
          <w:lang w:val="vi-VN"/>
        </w:rPr>
        <w:t>a</w:t>
      </w:r>
      <w:bookmarkEnd w:id="2"/>
      <w:r>
        <w:rPr>
          <w:shd w:val="solid" w:color="FFFFFF" w:fill="auto"/>
          <w:lang w:val="vi-VN"/>
        </w:rPr>
        <w:t>) Đơn đăng ký tái kiểm tra GMP;</w:t>
      </w:r>
    </w:p>
    <w:p w14:paraId="305904A1" w14:textId="77777777" w:rsidR="00000000" w:rsidRDefault="00000000">
      <w:pPr>
        <w:spacing w:before="120" w:after="280" w:afterAutospacing="1"/>
      </w:pPr>
      <w:bookmarkStart w:id="3" w:name="bookmark3"/>
      <w:r>
        <w:rPr>
          <w:shd w:val="solid" w:color="FFFFFF" w:fill="auto"/>
          <w:lang w:val="vi-VN"/>
        </w:rPr>
        <w:t>b</w:t>
      </w:r>
      <w:bookmarkEnd w:id="3"/>
      <w:r>
        <w:rPr>
          <w:shd w:val="solid" w:color="FFFFFF" w:fill="auto"/>
          <w:lang w:val="vi-VN"/>
        </w:rPr>
        <w:t>) Báo cáo hoạt động, những thay đổi của cơ sở trong 05 năm triển khai GMP; mô tả thông tin cơ sở đã có biện pháp bảo vệ môi trường theo quy định của pháp luật;</w:t>
      </w:r>
    </w:p>
    <w:p w14:paraId="62135440" w14:textId="77777777" w:rsidR="00000000" w:rsidRDefault="00000000">
      <w:pPr>
        <w:spacing w:before="120" w:after="280" w:afterAutospacing="1"/>
      </w:pPr>
      <w:bookmarkStart w:id="4" w:name="bookmark4"/>
      <w:r>
        <w:rPr>
          <w:shd w:val="solid" w:color="FFFFFF" w:fill="auto"/>
          <w:lang w:val="vi-VN"/>
        </w:rPr>
        <w:t>c</w:t>
      </w:r>
      <w:bookmarkEnd w:id="4"/>
      <w:r>
        <w:rPr>
          <w:shd w:val="solid" w:color="FFFFFF" w:fill="auto"/>
          <w:lang w:val="vi-VN"/>
        </w:rPr>
        <w:t>) Báo cáo khắc phục các tồn tại trong kiểm tra lần trước;</w:t>
      </w:r>
      <w:bookmarkStart w:id="5" w:name="bookmark7"/>
      <w:bookmarkEnd w:id="5"/>
    </w:p>
    <w:p w14:paraId="1A940B32" w14:textId="77777777" w:rsidR="00000000" w:rsidRDefault="00000000">
      <w:pPr>
        <w:spacing w:before="120" w:after="280" w:afterAutospacing="1"/>
      </w:pPr>
      <w:r>
        <w:rPr>
          <w:shd w:val="solid" w:color="FFFFFF" w:fill="auto"/>
          <w:lang w:val="vi-VN"/>
        </w:rPr>
        <w:lastRenderedPageBreak/>
        <w:t>d) Báo cáo về huấn luyện, đào tạo của cơ sở;</w:t>
      </w:r>
    </w:p>
    <w:p w14:paraId="3C7E3EE0" w14:textId="77777777" w:rsidR="00000000" w:rsidRDefault="00000000">
      <w:pPr>
        <w:spacing w:before="120" w:after="280" w:afterAutospacing="1"/>
      </w:pPr>
      <w:r>
        <w:rPr>
          <w:shd w:val="solid" w:color="FFFFFF" w:fill="auto"/>
          <w:lang w:val="vi-VN"/>
        </w:rPr>
        <w:t>đ) Danh mục thiết bị hiện có của cơ sở;</w:t>
      </w:r>
    </w:p>
    <w:p w14:paraId="523EFCAD" w14:textId="77777777" w:rsidR="00000000" w:rsidRDefault="00000000">
      <w:pPr>
        <w:spacing w:before="120" w:after="280" w:afterAutospacing="1"/>
      </w:pPr>
      <w:bookmarkStart w:id="6" w:name="bookmark8"/>
      <w:r>
        <w:rPr>
          <w:shd w:val="solid" w:color="FFFFFF" w:fill="auto"/>
          <w:lang w:val="vi-VN"/>
        </w:rPr>
        <w:t>e</w:t>
      </w:r>
      <w:bookmarkEnd w:id="6"/>
      <w:r>
        <w:rPr>
          <w:shd w:val="solid" w:color="FFFFFF" w:fill="auto"/>
          <w:lang w:val="vi-VN"/>
        </w:rPr>
        <w:t>) Danh mục các mặt hàng đang sản xuất;</w:t>
      </w:r>
    </w:p>
    <w:p w14:paraId="557068DD" w14:textId="77777777" w:rsidR="00000000" w:rsidRDefault="00000000">
      <w:pPr>
        <w:spacing w:before="120" w:after="280" w:afterAutospacing="1"/>
      </w:pPr>
      <w:bookmarkStart w:id="7" w:name="bookmark9"/>
      <w:r>
        <w:rPr>
          <w:shd w:val="solid" w:color="FFFFFF" w:fill="auto"/>
          <w:lang w:val="vi-VN"/>
        </w:rPr>
        <w:t>g</w:t>
      </w:r>
      <w:bookmarkEnd w:id="7"/>
      <w:r>
        <w:rPr>
          <w:shd w:val="solid" w:color="FFFFFF" w:fill="auto"/>
          <w:lang w:val="vi-VN"/>
        </w:rPr>
        <w:t>) Danh mục các quy trình thao tác chuẩn;</w:t>
      </w:r>
    </w:p>
    <w:p w14:paraId="5473D554" w14:textId="77777777" w:rsidR="00000000" w:rsidRDefault="00000000">
      <w:pPr>
        <w:spacing w:before="120" w:after="280" w:afterAutospacing="1"/>
      </w:pPr>
      <w:bookmarkStart w:id="8" w:name="bookmark10"/>
      <w:r>
        <w:rPr>
          <w:shd w:val="solid" w:color="FFFFFF" w:fill="auto"/>
          <w:lang w:val="vi-VN"/>
        </w:rPr>
        <w:t>h</w:t>
      </w:r>
      <w:bookmarkEnd w:id="8"/>
      <w:r>
        <w:rPr>
          <w:shd w:val="solid" w:color="FFFFFF" w:fill="auto"/>
          <w:lang w:val="vi-VN"/>
        </w:rPr>
        <w:t>) Biên bản tự thanh tra và đánh giá của cơ sở trong đợt tự thanh tra gần nhất (trong vòng 03 tháng) về triển khai GMP.”</w:t>
      </w:r>
    </w:p>
    <w:p w14:paraId="7ACBD8B2" w14:textId="77777777" w:rsidR="00000000" w:rsidRDefault="00000000">
      <w:pPr>
        <w:spacing w:before="120" w:after="280" w:afterAutospacing="1"/>
      </w:pPr>
      <w:bookmarkStart w:id="9" w:name="bookmark11"/>
      <w:r>
        <w:rPr>
          <w:shd w:val="solid" w:color="FFFFFF" w:fill="auto"/>
          <w:lang w:val="vi-VN"/>
        </w:rPr>
        <w:t>3</w:t>
      </w:r>
      <w:bookmarkEnd w:id="9"/>
      <w:r>
        <w:rPr>
          <w:shd w:val="solid" w:color="FFFFFF" w:fill="auto"/>
          <w:lang w:val="vi-VN"/>
        </w:rPr>
        <w:t>. Sửa đổi, bổ sung khoản 1 Điều 16 như sau:</w:t>
      </w:r>
    </w:p>
    <w:p w14:paraId="7945150E" w14:textId="77777777" w:rsidR="00000000" w:rsidRDefault="00000000">
      <w:pPr>
        <w:spacing w:before="120" w:after="280" w:afterAutospacing="1"/>
      </w:pPr>
      <w:r>
        <w:rPr>
          <w:shd w:val="solid" w:color="FFFFFF" w:fill="auto"/>
          <w:lang w:val="vi-VN"/>
        </w:rPr>
        <w:t>“1. Hồ sơ, trình tự, thủ tục cấp lại Giấy chứng nhận GMP trong trường hợp bị mất, sai sót, hư hỏng; thay đổi thông tin có liên quan đến tổ chức đăng ký:</w:t>
      </w:r>
    </w:p>
    <w:p w14:paraId="6A45A59B" w14:textId="77777777" w:rsidR="00000000" w:rsidRDefault="00000000">
      <w:pPr>
        <w:spacing w:before="120" w:after="280" w:afterAutospacing="1"/>
      </w:pPr>
      <w:bookmarkStart w:id="10" w:name="bookmark12"/>
      <w:r>
        <w:rPr>
          <w:shd w:val="solid" w:color="FFFFFF" w:fill="auto"/>
        </w:rPr>
        <w:t>a</w:t>
      </w:r>
      <w:bookmarkEnd w:id="10"/>
      <w:r>
        <w:rPr>
          <w:shd w:val="solid" w:color="FFFFFF" w:fill="auto"/>
        </w:rPr>
        <w:t xml:space="preserve">) </w:t>
      </w:r>
      <w:r>
        <w:rPr>
          <w:shd w:val="solid" w:color="FFFFFF" w:fill="auto"/>
          <w:lang w:val="vi-VN"/>
        </w:rPr>
        <w:t>Tổ chức, cá nhân nộp 01 bộ hồ sơ cấp lại Giấy chứng nhận GMP tới Cục Thú y theo một trong các hình thức: trực tuyến hoặc qua dịch vụ bưu chính hoặc trực tiếp. Hồ sơ gồm: bản chính đơn đăng ký cấp lại và bản chính hoặc bản sao có chứng thực hoặc bản sao có đóng dấu xác nhận của Doanh nghiệp các tài liệu: tài liệu chứng minh nội dung thay đổi trong trường hợp thay đổi thông tin có liên quan đến tổ chức đăng ký; Giấy chứng nhận GMP đã được cấp, trừ trường hợp bị mất;</w:t>
      </w:r>
    </w:p>
    <w:p w14:paraId="0CEF1E54" w14:textId="77777777" w:rsidR="00000000" w:rsidRDefault="00000000">
      <w:pPr>
        <w:spacing w:before="120" w:after="280" w:afterAutospacing="1"/>
      </w:pPr>
      <w:bookmarkStart w:id="11" w:name="bookmark13"/>
      <w:r>
        <w:rPr>
          <w:shd w:val="solid" w:color="FFFFFF" w:fill="auto"/>
          <w:lang w:val="vi-VN"/>
        </w:rPr>
        <w:t>b</w:t>
      </w:r>
      <w:bookmarkEnd w:id="11"/>
      <w:r>
        <w:rPr>
          <w:shd w:val="solid" w:color="FFFFFF" w:fill="auto"/>
          <w:lang w:val="vi-VN"/>
        </w:rPr>
        <w:t>) Trường hợp hồ sơ không đầy đủ và hợp lệ, trong thời hạn 03 ngày làm việc kể từ ngày nhận hồ sơ, Cục Thú y có văn bản hướng dẫn tổ chức, cá nhân hoàn thiện hồ sơ;</w:t>
      </w:r>
    </w:p>
    <w:p w14:paraId="4C6B2906" w14:textId="77777777" w:rsidR="00000000" w:rsidRDefault="00000000">
      <w:pPr>
        <w:spacing w:before="120" w:after="280" w:afterAutospacing="1"/>
      </w:pPr>
      <w:bookmarkStart w:id="12" w:name="bookmark14"/>
      <w:r>
        <w:rPr>
          <w:shd w:val="solid" w:color="FFFFFF" w:fill="auto"/>
          <w:lang w:val="vi-VN"/>
        </w:rPr>
        <w:t>c</w:t>
      </w:r>
      <w:bookmarkEnd w:id="12"/>
      <w:r>
        <w:rPr>
          <w:shd w:val="solid" w:color="FFFFFF" w:fill="auto"/>
          <w:lang w:val="vi-VN"/>
        </w:rPr>
        <w:t>) Trong thời hạn 05 ngày làm việc kể từ ngày nhận đủ hồ sơ hợp lệ, Cục Thú y cấp lại Giấy chứng nhận GMP hoặc có văn bản trả lời và nêu rõ lý do trong trường hợp không cấp.”</w:t>
      </w:r>
    </w:p>
    <w:p w14:paraId="4611A0F9" w14:textId="77777777" w:rsidR="00000000" w:rsidRDefault="00000000">
      <w:pPr>
        <w:spacing w:before="120" w:after="280" w:afterAutospacing="1"/>
      </w:pPr>
      <w:r>
        <w:rPr>
          <w:b/>
          <w:bCs/>
          <w:shd w:val="solid" w:color="FFFFFF" w:fill="auto"/>
          <w:lang w:val="vi-VN"/>
        </w:rPr>
        <w:t>Điều 2. Bãi bỏ, thay đổi một số điểm, khoản của Nghị định số 35/2016/NĐ-CP ngày 15 tháng 5 năm 2016 của Chính phủ quy định chi tiết một số điều của Luật Thú y</w:t>
      </w:r>
    </w:p>
    <w:p w14:paraId="2D594979" w14:textId="77777777" w:rsidR="00000000" w:rsidRDefault="00000000">
      <w:pPr>
        <w:spacing w:before="120" w:after="280" w:afterAutospacing="1"/>
      </w:pPr>
      <w:bookmarkStart w:id="13" w:name="bookmark15"/>
      <w:r>
        <w:rPr>
          <w:shd w:val="solid" w:color="FFFFFF" w:fill="auto"/>
          <w:lang w:val="vi-VN"/>
        </w:rPr>
        <w:t>1</w:t>
      </w:r>
      <w:bookmarkEnd w:id="13"/>
      <w:r>
        <w:rPr>
          <w:shd w:val="solid" w:color="FFFFFF" w:fill="auto"/>
          <w:lang w:val="vi-VN"/>
        </w:rPr>
        <w:t>. Bãi bỏ điểm b, điểm k khoản 1 Điều 14.</w:t>
      </w:r>
    </w:p>
    <w:p w14:paraId="556478B4" w14:textId="77777777" w:rsidR="00000000" w:rsidRDefault="00000000">
      <w:pPr>
        <w:spacing w:before="120" w:after="280" w:afterAutospacing="1"/>
      </w:pPr>
      <w:bookmarkStart w:id="14" w:name="bookmark16"/>
      <w:r>
        <w:rPr>
          <w:shd w:val="solid" w:color="FFFFFF" w:fill="auto"/>
          <w:lang w:val="vi-VN"/>
        </w:rPr>
        <w:t>2</w:t>
      </w:r>
      <w:bookmarkEnd w:id="14"/>
      <w:r>
        <w:rPr>
          <w:shd w:val="solid" w:color="FFFFFF" w:fill="auto"/>
          <w:lang w:val="vi-VN"/>
        </w:rPr>
        <w:t>. Thay đổi cụm từ “Hồ sơ đăng ký kiểm tra GMP phải có trang bìa và mục lục, được sắp xếp theo đúng trình tự của mục lục, có phân cách giữa các ph</w:t>
      </w:r>
      <w:r>
        <w:rPr>
          <w:shd w:val="solid" w:color="FFFFFF" w:fill="auto"/>
        </w:rPr>
        <w:t>ầ</w:t>
      </w:r>
      <w:r>
        <w:rPr>
          <w:shd w:val="solid" w:color="FFFFFF" w:fill="auto"/>
          <w:lang w:val="vi-VN"/>
        </w:rPr>
        <w:t>n” thành cụm từ “Hồ sơ gồm bản chính tài liệu quy định tại các điểm a, c, d, đ, e, g và i khoản 1 Điều này; bản chính hoặc bản sao có chứng thực hoặc bản sao có đóng dấu xác nhận của Doanh nghiệp tài liệu quy định tại điểm h khoản 1 Điều này. Hồ sơ đăng ký kiểm tra GMP phải có trang bìa và mục lục, được sắp xếp theo đúng trình tự của mục lục, có phân cách giữa các ph</w:t>
      </w:r>
      <w:r>
        <w:rPr>
          <w:shd w:val="solid" w:color="FFFFFF" w:fill="auto"/>
        </w:rPr>
        <w:t>ầ</w:t>
      </w:r>
      <w:r>
        <w:rPr>
          <w:shd w:val="solid" w:color="FFFFFF" w:fill="auto"/>
          <w:lang w:val="vi-VN"/>
        </w:rPr>
        <w:t>n” tại khoản 1 Điều 14.</w:t>
      </w:r>
    </w:p>
    <w:p w14:paraId="0A7771C1" w14:textId="77777777" w:rsidR="00000000" w:rsidRDefault="00000000">
      <w:pPr>
        <w:spacing w:before="120" w:after="280" w:afterAutospacing="1"/>
      </w:pPr>
      <w:r>
        <w:rPr>
          <w:b/>
          <w:bCs/>
          <w:shd w:val="solid" w:color="FFFFFF" w:fill="auto"/>
          <w:lang w:val="vi-VN"/>
        </w:rPr>
        <w:t>Điều 3. Hiệu lực thi hành</w:t>
      </w:r>
    </w:p>
    <w:p w14:paraId="23539CDB" w14:textId="77777777" w:rsidR="00000000" w:rsidRDefault="00000000">
      <w:pPr>
        <w:spacing w:before="120" w:after="280" w:afterAutospacing="1"/>
      </w:pPr>
      <w:r>
        <w:rPr>
          <w:shd w:val="solid" w:color="FFFFFF" w:fill="auto"/>
          <w:lang w:val="vi-VN"/>
        </w:rPr>
        <w:t>Nghị định này có hiệu lực thi hành kể từ ngày ký ban hành.</w:t>
      </w:r>
    </w:p>
    <w:p w14:paraId="59B549AF" w14:textId="77777777" w:rsidR="00000000" w:rsidRDefault="00000000">
      <w:pPr>
        <w:spacing w:before="120" w:after="280" w:afterAutospacing="1"/>
      </w:pPr>
      <w:r>
        <w:rPr>
          <w:b/>
          <w:bCs/>
          <w:shd w:val="solid" w:color="FFFFFF" w:fill="auto"/>
          <w:lang w:val="vi-VN"/>
        </w:rPr>
        <w:t>Điều 4. Điều khoản chuyển tiếp</w:t>
      </w:r>
    </w:p>
    <w:p w14:paraId="1AD8AD65" w14:textId="77777777" w:rsidR="00000000" w:rsidRDefault="00000000">
      <w:pPr>
        <w:spacing w:before="120" w:after="280" w:afterAutospacing="1"/>
      </w:pPr>
      <w:r>
        <w:rPr>
          <w:shd w:val="solid" w:color="FFFFFF" w:fill="auto"/>
          <w:lang w:val="vi-VN"/>
        </w:rPr>
        <w:t>Đối với các hồ sơ đã tiếp nhận trước ngày Nghị định này có hiệu lực thực hiện theo quy định của Nghị định số 35/2016/NĐ-CP ngày 15 tháng 5 năm 2016 của Chính phủ quy định chi tiết một số điều của Luật Thú y.</w:t>
      </w:r>
    </w:p>
    <w:p w14:paraId="0580C7F9" w14:textId="77777777" w:rsidR="00000000" w:rsidRDefault="00000000">
      <w:pPr>
        <w:spacing w:before="120" w:after="280" w:afterAutospacing="1"/>
      </w:pPr>
      <w:r>
        <w:rPr>
          <w:b/>
          <w:bCs/>
          <w:shd w:val="solid" w:color="FFFFFF" w:fill="auto"/>
          <w:lang w:val="vi-VN"/>
        </w:rPr>
        <w:t>Điều 5. Trách nhiệm thi hành</w:t>
      </w:r>
    </w:p>
    <w:p w14:paraId="38844B7D" w14:textId="77777777" w:rsidR="00000000" w:rsidRDefault="00000000">
      <w:pPr>
        <w:spacing w:before="120" w:after="280" w:afterAutospacing="1"/>
      </w:pPr>
      <w:r>
        <w:rPr>
          <w:shd w:val="solid" w:color="FFFFFF" w:fill="auto"/>
          <w:lang w:val="vi-VN"/>
        </w:rPr>
        <w:t>Các Bộ trưởng, Thủ trưởng cơ quan ngang bộ, Thủ trưởng cơ quan thuộc Chính phủ, Chủ tịch Ủy ban nhân dân tỉnh, thành phố trực thuộc trung ương, tổ chức, cá nhân có quan liên quan chịu trách nhiệm thi hành Nghị định này.</w:t>
      </w:r>
    </w:p>
    <w:p w14:paraId="4650BE72"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47"/>
        <w:gridCol w:w="4313"/>
      </w:tblGrid>
      <w:tr w:rsidR="00000000" w14:paraId="2CE286A6" w14:textId="77777777">
        <w:tc>
          <w:tcPr>
            <w:tcW w:w="2696" w:type="pct"/>
            <w:tcBorders>
              <w:top w:val="nil"/>
              <w:left w:val="nil"/>
              <w:bottom w:val="nil"/>
              <w:right w:val="nil"/>
              <w:tl2br w:val="nil"/>
              <w:tr2bl w:val="nil"/>
            </w:tcBorders>
            <w:shd w:val="clear" w:color="auto" w:fill="auto"/>
            <w:tcMar>
              <w:top w:w="0" w:type="dxa"/>
              <w:left w:w="108" w:type="dxa"/>
              <w:bottom w:w="0" w:type="dxa"/>
              <w:right w:w="108" w:type="dxa"/>
            </w:tcMar>
          </w:tcPr>
          <w:p w14:paraId="22A6F28F" w14:textId="77777777" w:rsidR="00000000" w:rsidRDefault="00000000">
            <w:pPr>
              <w:spacing w:before="120" w:after="280" w:afterAutospacing="1"/>
            </w:pPr>
            <w:r>
              <w:rPr>
                <w:lang w:val="vi-VN"/>
              </w:rPr>
              <w:t> </w:t>
            </w:r>
          </w:p>
          <w:p w14:paraId="79B414F0" w14:textId="77777777" w:rsidR="00000000" w:rsidRDefault="00000000">
            <w:pPr>
              <w:spacing w:before="120"/>
            </w:pPr>
            <w:r>
              <w:rPr>
                <w:b/>
                <w:bCs/>
                <w:i/>
                <w:iCs/>
                <w:lang w:val="vi-VN"/>
              </w:rPr>
              <w:t>Nơi nhận:</w:t>
            </w:r>
            <w:r>
              <w:rPr>
                <w:b/>
                <w:bCs/>
                <w:i/>
                <w:iCs/>
                <w:lang w:val="vi-VN"/>
              </w:rPr>
              <w:br/>
            </w:r>
            <w:bookmarkStart w:id="15" w:name="bookmark17"/>
            <w:r>
              <w:rPr>
                <w:sz w:val="16"/>
                <w:shd w:val="solid" w:color="FFFFFF" w:fill="auto"/>
                <w:lang w:val="vi-VN"/>
              </w:rPr>
              <w:t>-</w:t>
            </w:r>
            <w:bookmarkEnd w:id="15"/>
            <w:r>
              <w:rPr>
                <w:sz w:val="16"/>
                <w:shd w:val="solid" w:color="FFFFFF" w:fill="auto"/>
                <w:lang w:val="vi-VN"/>
              </w:rPr>
              <w:t xml:space="preserve"> Ban Bí thư Trung ương Đảng;</w:t>
            </w:r>
            <w:r>
              <w:rPr>
                <w:shd w:val="solid" w:color="FFFFFF" w:fill="auto"/>
                <w:lang w:val="vi-VN"/>
              </w:rPr>
              <w:br/>
            </w:r>
            <w:bookmarkStart w:id="16" w:name="bookmark18"/>
            <w:r>
              <w:rPr>
                <w:sz w:val="16"/>
                <w:shd w:val="solid" w:color="FFFFFF" w:fill="auto"/>
                <w:lang w:val="vi-VN"/>
              </w:rPr>
              <w:t>-</w:t>
            </w:r>
            <w:bookmarkEnd w:id="16"/>
            <w:r>
              <w:rPr>
                <w:sz w:val="16"/>
                <w:shd w:val="solid" w:color="FFFFFF" w:fill="auto"/>
                <w:lang w:val="vi-VN"/>
              </w:rPr>
              <w:t xml:space="preserve"> Thủ tướng, các Phó Thủ tướng Chính phủ;</w:t>
            </w:r>
            <w:r>
              <w:rPr>
                <w:shd w:val="solid" w:color="FFFFFF" w:fill="auto"/>
                <w:lang w:val="vi-VN"/>
              </w:rPr>
              <w:br/>
            </w:r>
            <w:bookmarkStart w:id="17" w:name="bookmark19"/>
            <w:r>
              <w:rPr>
                <w:sz w:val="16"/>
                <w:shd w:val="solid" w:color="FFFFFF" w:fill="auto"/>
                <w:lang w:val="vi-VN"/>
              </w:rPr>
              <w:t>-</w:t>
            </w:r>
            <w:bookmarkEnd w:id="17"/>
            <w:r>
              <w:rPr>
                <w:sz w:val="16"/>
                <w:shd w:val="solid" w:color="FFFFFF" w:fill="auto"/>
                <w:lang w:val="vi-VN"/>
              </w:rPr>
              <w:t xml:space="preserve"> Các bộ, cơ quan ngang bộ, cơ quan thuộc Chính phủ;</w:t>
            </w:r>
            <w:r>
              <w:rPr>
                <w:shd w:val="solid" w:color="FFFFFF" w:fill="auto"/>
                <w:lang w:val="vi-VN"/>
              </w:rPr>
              <w:br/>
            </w:r>
            <w:bookmarkStart w:id="18" w:name="bookmark20"/>
            <w:r>
              <w:rPr>
                <w:sz w:val="16"/>
                <w:shd w:val="solid" w:color="FFFFFF" w:fill="auto"/>
                <w:lang w:val="vi-VN"/>
              </w:rPr>
              <w:t>-</w:t>
            </w:r>
            <w:bookmarkEnd w:id="18"/>
            <w:r>
              <w:rPr>
                <w:sz w:val="16"/>
                <w:shd w:val="solid" w:color="FFFFFF" w:fill="auto"/>
                <w:lang w:val="vi-VN"/>
              </w:rPr>
              <w:t xml:space="preserve"> HĐND, UBND các tỉnh, thành phố trực thuộc trung ư</w:t>
            </w:r>
            <w:r>
              <w:rPr>
                <w:sz w:val="16"/>
                <w:shd w:val="solid" w:color="FFFFFF" w:fill="auto"/>
              </w:rPr>
              <w:t>ơng;</w:t>
            </w:r>
            <w:r>
              <w:rPr>
                <w:shd w:val="solid" w:color="FFFFFF" w:fill="auto"/>
              </w:rPr>
              <w:br/>
            </w:r>
            <w:bookmarkStart w:id="19" w:name="bookmark21"/>
            <w:r>
              <w:rPr>
                <w:sz w:val="16"/>
                <w:shd w:val="solid" w:color="FFFFFF" w:fill="auto"/>
                <w:lang w:val="vi-VN"/>
              </w:rPr>
              <w:t>-</w:t>
            </w:r>
            <w:bookmarkEnd w:id="19"/>
            <w:r>
              <w:rPr>
                <w:sz w:val="16"/>
                <w:shd w:val="solid" w:color="FFFFFF" w:fill="auto"/>
                <w:lang w:val="vi-VN"/>
              </w:rPr>
              <w:t xml:space="preserve"> Văn phòng Trung ương và các Ban của Đảng;</w:t>
            </w:r>
            <w:r>
              <w:rPr>
                <w:shd w:val="solid" w:color="FFFFFF" w:fill="auto"/>
                <w:lang w:val="vi-VN"/>
              </w:rPr>
              <w:br/>
            </w:r>
            <w:bookmarkStart w:id="20" w:name="bookmark22"/>
            <w:r>
              <w:rPr>
                <w:sz w:val="16"/>
                <w:shd w:val="solid" w:color="FFFFFF" w:fill="auto"/>
                <w:lang w:val="vi-VN"/>
              </w:rPr>
              <w:t>-</w:t>
            </w:r>
            <w:bookmarkEnd w:id="20"/>
            <w:r>
              <w:rPr>
                <w:sz w:val="16"/>
                <w:shd w:val="solid" w:color="FFFFFF" w:fill="auto"/>
                <w:lang w:val="vi-VN"/>
              </w:rPr>
              <w:t xml:space="preserve"> Văn phòng Tổng Bí thư;</w:t>
            </w:r>
            <w:r>
              <w:rPr>
                <w:shd w:val="solid" w:color="FFFFFF" w:fill="auto"/>
                <w:lang w:val="vi-VN"/>
              </w:rPr>
              <w:br/>
            </w:r>
            <w:r>
              <w:rPr>
                <w:sz w:val="16"/>
                <w:shd w:val="solid" w:color="FFFFFF" w:fill="auto"/>
                <w:lang w:val="vi-VN"/>
              </w:rPr>
              <w:t>- Văn phòng Chủ tịch nước;</w:t>
            </w:r>
            <w:r>
              <w:rPr>
                <w:shd w:val="solid" w:color="FFFFFF" w:fill="auto"/>
                <w:lang w:val="vi-VN"/>
              </w:rPr>
              <w:br/>
            </w:r>
            <w:bookmarkStart w:id="21" w:name="bookmark23"/>
            <w:r>
              <w:rPr>
                <w:sz w:val="16"/>
                <w:shd w:val="solid" w:color="FFFFFF" w:fill="auto"/>
                <w:lang w:val="vi-VN"/>
              </w:rPr>
              <w:t>-</w:t>
            </w:r>
            <w:bookmarkEnd w:id="21"/>
            <w:r>
              <w:rPr>
                <w:sz w:val="16"/>
                <w:shd w:val="solid" w:color="FFFFFF" w:fill="auto"/>
                <w:lang w:val="vi-VN"/>
              </w:rPr>
              <w:t xml:space="preserve"> Hội đồng Dân tộc và các Ủy ban của Quốc hội;</w:t>
            </w:r>
            <w:r>
              <w:rPr>
                <w:shd w:val="solid" w:color="FFFFFF" w:fill="auto"/>
                <w:lang w:val="vi-VN"/>
              </w:rPr>
              <w:br/>
            </w:r>
            <w:bookmarkStart w:id="22" w:name="bookmark24"/>
            <w:r>
              <w:rPr>
                <w:sz w:val="16"/>
                <w:shd w:val="solid" w:color="FFFFFF" w:fill="auto"/>
                <w:lang w:val="vi-VN"/>
              </w:rPr>
              <w:t>-</w:t>
            </w:r>
            <w:bookmarkEnd w:id="22"/>
            <w:r>
              <w:rPr>
                <w:sz w:val="16"/>
                <w:shd w:val="solid" w:color="FFFFFF" w:fill="auto"/>
                <w:lang w:val="vi-VN"/>
              </w:rPr>
              <w:t xml:space="preserve"> Văn phòng Quốc hội;</w:t>
            </w:r>
            <w:r>
              <w:rPr>
                <w:shd w:val="solid" w:color="FFFFFF" w:fill="auto"/>
                <w:lang w:val="vi-VN"/>
              </w:rPr>
              <w:br/>
            </w:r>
            <w:bookmarkStart w:id="23" w:name="bookmark25"/>
            <w:r>
              <w:rPr>
                <w:sz w:val="16"/>
                <w:shd w:val="solid" w:color="FFFFFF" w:fill="auto"/>
                <w:lang w:val="vi-VN"/>
              </w:rPr>
              <w:t>-</w:t>
            </w:r>
            <w:bookmarkEnd w:id="23"/>
            <w:r>
              <w:rPr>
                <w:sz w:val="16"/>
                <w:shd w:val="solid" w:color="FFFFFF" w:fill="auto"/>
                <w:lang w:val="vi-VN"/>
              </w:rPr>
              <w:t xml:space="preserve"> Tòa án nhân dân tối cao;</w:t>
            </w:r>
            <w:r>
              <w:rPr>
                <w:shd w:val="solid" w:color="FFFFFF" w:fill="auto"/>
                <w:lang w:val="vi-VN"/>
              </w:rPr>
              <w:br/>
            </w:r>
            <w:bookmarkStart w:id="24" w:name="bookmark26"/>
            <w:r>
              <w:rPr>
                <w:sz w:val="16"/>
                <w:shd w:val="solid" w:color="FFFFFF" w:fill="auto"/>
                <w:lang w:val="vi-VN"/>
              </w:rPr>
              <w:t>-</w:t>
            </w:r>
            <w:bookmarkEnd w:id="24"/>
            <w:r>
              <w:rPr>
                <w:sz w:val="16"/>
                <w:shd w:val="solid" w:color="FFFFFF" w:fill="auto"/>
                <w:lang w:val="vi-VN"/>
              </w:rPr>
              <w:t xml:space="preserve"> Viện kiểm sát nhân dân tối cao;</w:t>
            </w:r>
            <w:r>
              <w:rPr>
                <w:sz w:val="16"/>
                <w:shd w:val="solid" w:color="FFFFFF" w:fill="auto"/>
                <w:lang w:val="vi-VN"/>
              </w:rPr>
              <w:br/>
              <w:t>- Ủy ban Giám sát tài chính Quốc gia;</w:t>
            </w:r>
            <w:r>
              <w:rPr>
                <w:sz w:val="16"/>
                <w:shd w:val="solid" w:color="FFFFFF" w:fill="auto"/>
                <w:lang w:val="vi-VN"/>
              </w:rPr>
              <w:br/>
              <w:t>- Kiểm toán nhà nước;</w:t>
            </w:r>
            <w:r>
              <w:rPr>
                <w:shd w:val="solid" w:color="FFFFFF" w:fill="auto"/>
                <w:lang w:val="vi-VN"/>
              </w:rPr>
              <w:br/>
            </w:r>
            <w:bookmarkStart w:id="25" w:name="bookmark27"/>
            <w:r>
              <w:rPr>
                <w:sz w:val="16"/>
                <w:shd w:val="solid" w:color="FFFFFF" w:fill="auto"/>
                <w:lang w:val="vi-VN"/>
              </w:rPr>
              <w:t>-</w:t>
            </w:r>
            <w:bookmarkEnd w:id="25"/>
            <w:r>
              <w:rPr>
                <w:sz w:val="16"/>
                <w:shd w:val="solid" w:color="FFFFFF" w:fill="auto"/>
                <w:lang w:val="vi-VN"/>
              </w:rPr>
              <w:t xml:space="preserve"> Ngân hàng Chính sách xã hội;</w:t>
            </w:r>
            <w:r>
              <w:rPr>
                <w:shd w:val="solid" w:color="FFFFFF" w:fill="auto"/>
                <w:lang w:val="vi-VN"/>
              </w:rPr>
              <w:br/>
            </w:r>
            <w:bookmarkStart w:id="26" w:name="bookmark28"/>
            <w:r>
              <w:rPr>
                <w:sz w:val="16"/>
                <w:shd w:val="solid" w:color="FFFFFF" w:fill="auto"/>
                <w:lang w:val="vi-VN"/>
              </w:rPr>
              <w:t>-</w:t>
            </w:r>
            <w:bookmarkEnd w:id="26"/>
            <w:r>
              <w:rPr>
                <w:sz w:val="16"/>
                <w:shd w:val="solid" w:color="FFFFFF" w:fill="auto"/>
                <w:lang w:val="vi-VN"/>
              </w:rPr>
              <w:t xml:space="preserve"> Ngân hàng Phát triển Việt Nam;</w:t>
            </w:r>
            <w:r>
              <w:rPr>
                <w:shd w:val="solid" w:color="FFFFFF" w:fill="auto"/>
                <w:lang w:val="vi-VN"/>
              </w:rPr>
              <w:br/>
            </w:r>
            <w:bookmarkStart w:id="27" w:name="bookmark29"/>
            <w:r>
              <w:rPr>
                <w:sz w:val="16"/>
                <w:shd w:val="solid" w:color="FFFFFF" w:fill="auto"/>
                <w:lang w:val="vi-VN"/>
              </w:rPr>
              <w:t>-</w:t>
            </w:r>
            <w:bookmarkEnd w:id="27"/>
            <w:r>
              <w:rPr>
                <w:sz w:val="16"/>
                <w:shd w:val="solid" w:color="FFFFFF" w:fill="auto"/>
                <w:lang w:val="vi-VN"/>
              </w:rPr>
              <w:t xml:space="preserve"> Ủy ban trung ương Mặt trận Tổ quốc Việt Nam;</w:t>
            </w:r>
            <w:r>
              <w:rPr>
                <w:shd w:val="solid" w:color="FFFFFF" w:fill="auto"/>
                <w:lang w:val="vi-VN"/>
              </w:rPr>
              <w:br/>
            </w:r>
            <w:bookmarkStart w:id="28" w:name="bookmark30"/>
            <w:r>
              <w:rPr>
                <w:sz w:val="16"/>
                <w:shd w:val="solid" w:color="FFFFFF" w:fill="auto"/>
                <w:lang w:val="vi-VN"/>
              </w:rPr>
              <w:t>-</w:t>
            </w:r>
            <w:bookmarkEnd w:id="28"/>
            <w:r>
              <w:rPr>
                <w:sz w:val="16"/>
                <w:shd w:val="solid" w:color="FFFFFF" w:fill="auto"/>
                <w:lang w:val="vi-VN"/>
              </w:rPr>
              <w:t xml:space="preserve"> Cơ quan trung ương của các đoàn thể;</w:t>
            </w:r>
            <w:r>
              <w:rPr>
                <w:shd w:val="solid" w:color="FFFFFF" w:fill="auto"/>
                <w:lang w:val="vi-VN"/>
              </w:rPr>
              <w:br/>
            </w:r>
            <w:bookmarkStart w:id="29" w:name="bookmark31"/>
            <w:r>
              <w:rPr>
                <w:sz w:val="16"/>
                <w:shd w:val="solid" w:color="FFFFFF" w:fill="auto"/>
                <w:lang w:val="vi-VN"/>
              </w:rPr>
              <w:t>-</w:t>
            </w:r>
            <w:bookmarkEnd w:id="29"/>
            <w:r>
              <w:rPr>
                <w:sz w:val="16"/>
                <w:shd w:val="solid" w:color="FFFFFF" w:fill="auto"/>
                <w:lang w:val="vi-VN"/>
              </w:rPr>
              <w:t xml:space="preserve"> VPCP: </w:t>
            </w:r>
            <w:r>
              <w:rPr>
                <w:sz w:val="16"/>
                <w:shd w:val="solid" w:color="FFFFFF" w:fill="auto"/>
              </w:rPr>
              <w:t xml:space="preserve">BTCN, </w:t>
            </w:r>
            <w:r>
              <w:rPr>
                <w:sz w:val="16"/>
                <w:shd w:val="solid" w:color="FFFFFF" w:fill="auto"/>
                <w:lang w:val="vi-VN"/>
              </w:rPr>
              <w:t>các PCN, Trợ lý TTg, TGĐ Cổng TTĐT,</w:t>
            </w:r>
            <w:r>
              <w:rPr>
                <w:sz w:val="16"/>
                <w:shd w:val="solid" w:color="FFFFFF" w:fill="auto"/>
              </w:rPr>
              <w:br/>
            </w:r>
            <w:r>
              <w:rPr>
                <w:sz w:val="16"/>
                <w:shd w:val="solid" w:color="FFFFFF" w:fill="auto"/>
                <w:lang w:val="vi-VN"/>
              </w:rPr>
              <w:t>các Vụ, Cục, đơn vị trực thuộc, Công báo;</w:t>
            </w:r>
            <w:r>
              <w:rPr>
                <w:sz w:val="16"/>
                <w:shd w:val="solid" w:color="FFFFFF" w:fill="auto"/>
                <w:lang w:val="vi-VN"/>
              </w:rPr>
              <w:br/>
              <w:t>- Lưu: VT, NN (2)</w:t>
            </w:r>
            <w:r>
              <w:rPr>
                <w:sz w:val="16"/>
              </w:rPr>
              <w:t>.</w:t>
            </w:r>
          </w:p>
        </w:tc>
        <w:tc>
          <w:tcPr>
            <w:tcW w:w="2304" w:type="pct"/>
            <w:tcBorders>
              <w:top w:val="nil"/>
              <w:left w:val="nil"/>
              <w:bottom w:val="nil"/>
              <w:right w:val="nil"/>
              <w:tl2br w:val="nil"/>
              <w:tr2bl w:val="nil"/>
            </w:tcBorders>
            <w:shd w:val="clear" w:color="auto" w:fill="auto"/>
            <w:tcMar>
              <w:top w:w="0" w:type="dxa"/>
              <w:left w:w="108" w:type="dxa"/>
              <w:bottom w:w="0" w:type="dxa"/>
              <w:right w:w="108" w:type="dxa"/>
            </w:tcMar>
          </w:tcPr>
          <w:p w14:paraId="0C9435D9" w14:textId="77777777" w:rsidR="00000000" w:rsidRDefault="00000000">
            <w:pPr>
              <w:spacing w:before="120"/>
              <w:jc w:val="center"/>
            </w:pPr>
            <w:r>
              <w:rPr>
                <w:b/>
                <w:bCs/>
                <w:shd w:val="solid" w:color="FFFFFF" w:fill="auto"/>
              </w:rPr>
              <w:t>TM. CHÍNH PHỦ</w:t>
            </w:r>
            <w:r>
              <w:rPr>
                <w:b/>
                <w:bCs/>
                <w:shd w:val="solid" w:color="FFFFFF" w:fill="auto"/>
              </w:rPr>
              <w:br/>
              <w:t>KT. THỦ TƯỚNG</w:t>
            </w:r>
            <w:r>
              <w:rPr>
                <w:b/>
                <w:bCs/>
                <w:shd w:val="solid" w:color="FFFFFF" w:fill="auto"/>
              </w:rPr>
              <w:br/>
              <w:t>PHÓ THỦ TƯỚNG</w:t>
            </w:r>
            <w:r>
              <w:rPr>
                <w:b/>
                <w:bCs/>
                <w:shd w:val="solid" w:color="FFFFFF" w:fill="auto"/>
              </w:rPr>
              <w:br/>
            </w:r>
            <w:r>
              <w:rPr>
                <w:b/>
                <w:bCs/>
                <w:shd w:val="solid" w:color="FFFFFF" w:fill="auto"/>
              </w:rPr>
              <w:br/>
            </w:r>
            <w:r>
              <w:rPr>
                <w:b/>
                <w:bCs/>
                <w:shd w:val="solid" w:color="FFFFFF" w:fill="auto"/>
              </w:rPr>
              <w:br/>
            </w:r>
            <w:r>
              <w:rPr>
                <w:b/>
                <w:bCs/>
                <w:shd w:val="solid" w:color="FFFFFF" w:fill="auto"/>
              </w:rPr>
              <w:br/>
            </w:r>
            <w:r>
              <w:rPr>
                <w:b/>
                <w:bCs/>
                <w:shd w:val="solid" w:color="FFFFFF" w:fill="auto"/>
              </w:rPr>
              <w:br/>
              <w:t>Lê Văn Thành</w:t>
            </w:r>
          </w:p>
        </w:tc>
      </w:tr>
    </w:tbl>
    <w:p w14:paraId="0954465B" w14:textId="77777777" w:rsidR="00B20A90" w:rsidRDefault="00000000">
      <w:pPr>
        <w:spacing w:before="120" w:after="280" w:afterAutospacing="1"/>
      </w:pPr>
      <w:r>
        <w:rPr>
          <w:shd w:val="solid" w:color="FFFFFF" w:fill="auto"/>
        </w:rPr>
        <w:t> </w:t>
      </w:r>
    </w:p>
    <w:sectPr w:rsidR="00B20A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55"/>
    <w:rsid w:val="00194B55"/>
    <w:rsid w:val="00B20A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8C163D"/>
  <w15:chartTrackingRefBased/>
  <w15:docId w15:val="{8D5A0FFB-9F95-462D-8DE6-7B3EE136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2022-10-14T06:32:00Z</dcterms:created>
  <dcterms:modified xsi:type="dcterms:W3CDTF">2022-10-14T06:32:00Z</dcterms:modified>
</cp:coreProperties>
</file>