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5508"/>
      </w:tblGrid>
      <w:tr w:rsidR="00DF6C74" w:rsidRPr="00044762" w14:paraId="03778561" w14:textId="77777777" w:rsidTr="00044762">
        <w:tc>
          <w:tcPr>
            <w:tcW w:w="3348" w:type="dxa"/>
            <w:shd w:val="clear" w:color="auto" w:fill="auto"/>
          </w:tcPr>
          <w:p w14:paraId="1E72C546" w14:textId="77777777" w:rsidR="00DF6C74" w:rsidRPr="00044762" w:rsidRDefault="00DF6C74" w:rsidP="00044762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44762">
              <w:rPr>
                <w:rFonts w:ascii="Arial" w:eastAsia="Times New Roman" w:hAnsi="Arial" w:cs="Arial"/>
                <w:b/>
                <w:sz w:val="20"/>
              </w:rPr>
              <w:t>BỘ TÀI CHÍNH</w:t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  <w:shd w:val="clear" w:color="auto" w:fill="auto"/>
          </w:tcPr>
          <w:p w14:paraId="3406C9C6" w14:textId="77777777" w:rsidR="00DF6C74" w:rsidRPr="00044762" w:rsidRDefault="00DF6C74" w:rsidP="00044762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44762">
              <w:rPr>
                <w:rFonts w:ascii="Arial" w:eastAsia="Times New Roman" w:hAnsi="Arial" w:cs="Arial"/>
                <w:b/>
                <w:sz w:val="20"/>
                <w:szCs w:val="20"/>
              </w:rPr>
              <w:t>CỘNG HÒA XÃ HỘI CHỦ NGHĨA VIỆT NAM</w:t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Độc lập - Tự do - Hạnh phúc</w:t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DF6C74" w:rsidRPr="00044762" w14:paraId="7AD54AD8" w14:textId="77777777" w:rsidTr="00044762">
        <w:tc>
          <w:tcPr>
            <w:tcW w:w="3348" w:type="dxa"/>
            <w:shd w:val="clear" w:color="auto" w:fill="auto"/>
          </w:tcPr>
          <w:p w14:paraId="1B44828D" w14:textId="77777777" w:rsidR="00DF6C74" w:rsidRPr="00044762" w:rsidRDefault="00DF6C74" w:rsidP="00044762">
            <w:pPr>
              <w:spacing w:before="120"/>
              <w:jc w:val="center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044762">
              <w:rPr>
                <w:rFonts w:ascii="Arial" w:eastAsia="Times New Roman" w:hAnsi="Arial" w:cs="Arial"/>
                <w:sz w:val="20"/>
                <w:szCs w:val="20"/>
              </w:rPr>
              <w:t xml:space="preserve">Số: </w:t>
            </w:r>
            <w:r w:rsidRPr="0004476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31/2022/TT-BTC</w:t>
            </w:r>
          </w:p>
        </w:tc>
        <w:tc>
          <w:tcPr>
            <w:tcW w:w="5508" w:type="dxa"/>
            <w:shd w:val="clear" w:color="auto" w:fill="auto"/>
          </w:tcPr>
          <w:p w14:paraId="2E512A6C" w14:textId="77777777" w:rsidR="00DF6C74" w:rsidRPr="00044762" w:rsidRDefault="00DF6C74" w:rsidP="00044762">
            <w:pPr>
              <w:spacing w:before="120"/>
              <w:jc w:val="right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044762">
              <w:rPr>
                <w:rFonts w:ascii="Arial" w:eastAsia="Times New Roman" w:hAnsi="Arial" w:cs="Arial"/>
                <w:i/>
                <w:sz w:val="20"/>
              </w:rPr>
              <w:t xml:space="preserve">Hà Nội, ngày </w:t>
            </w:r>
            <w:r w:rsidRPr="00044762">
              <w:rPr>
                <w:rFonts w:ascii="Arial" w:eastAsia="Times New Roman" w:hAnsi="Arial" w:cs="Arial"/>
                <w:i/>
                <w:sz w:val="20"/>
                <w:lang w:val="en-US"/>
              </w:rPr>
              <w:t>08</w:t>
            </w:r>
            <w:r w:rsidRPr="00044762">
              <w:rPr>
                <w:rFonts w:ascii="Arial" w:eastAsia="Times New Roman" w:hAnsi="Arial" w:cs="Arial"/>
                <w:i/>
                <w:sz w:val="20"/>
              </w:rPr>
              <w:t xml:space="preserve"> tháng 6 năm 2022</w:t>
            </w:r>
          </w:p>
        </w:tc>
      </w:tr>
    </w:tbl>
    <w:p w14:paraId="63A549F6" w14:textId="77777777" w:rsidR="00DF6C74" w:rsidRPr="002B6D5A" w:rsidRDefault="00DF6C74" w:rsidP="00931E04">
      <w:pPr>
        <w:spacing w:before="120"/>
        <w:rPr>
          <w:rFonts w:ascii="Arial" w:hAnsi="Arial" w:cs="Arial"/>
          <w:sz w:val="20"/>
          <w:lang w:val="en-US"/>
        </w:rPr>
      </w:pPr>
    </w:p>
    <w:p w14:paraId="57134832" w14:textId="77777777" w:rsidR="000E2D3A" w:rsidRPr="002B6D5A" w:rsidRDefault="00DF6C74" w:rsidP="00931E04">
      <w:pPr>
        <w:spacing w:before="120"/>
        <w:jc w:val="center"/>
        <w:rPr>
          <w:rFonts w:ascii="Arial" w:hAnsi="Arial" w:cs="Arial"/>
          <w:b/>
        </w:rPr>
      </w:pPr>
      <w:r w:rsidRPr="002B6D5A">
        <w:rPr>
          <w:rFonts w:ascii="Arial" w:hAnsi="Arial" w:cs="Arial"/>
          <w:b/>
        </w:rPr>
        <w:t>THÔNG TƯ</w:t>
      </w:r>
    </w:p>
    <w:p w14:paraId="19C57A3C" w14:textId="77777777" w:rsidR="000E2D3A" w:rsidRPr="002B6D5A" w:rsidRDefault="00DF6C74" w:rsidP="00931E04">
      <w:pPr>
        <w:spacing w:before="120"/>
        <w:jc w:val="center"/>
        <w:rPr>
          <w:rFonts w:ascii="Arial" w:hAnsi="Arial" w:cs="Arial"/>
          <w:sz w:val="20"/>
          <w:lang w:val="en-US"/>
        </w:rPr>
      </w:pPr>
      <w:r w:rsidRPr="002B6D5A">
        <w:rPr>
          <w:rFonts w:ascii="Arial" w:hAnsi="Arial" w:cs="Arial"/>
          <w:sz w:val="20"/>
        </w:rPr>
        <w:t xml:space="preserve">BAN HÀNH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HÓA XUẤT KHẨU, NHẬP KHẨU VIỆT NAM</w:t>
      </w:r>
    </w:p>
    <w:p w14:paraId="47EF21FE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cứ Luật Hải quan ngày 23 tháng 6 năm 2014;</w:t>
      </w:r>
    </w:p>
    <w:p w14:paraId="3BF7F114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cứ Nghị định số 08/2015/NĐ-CP ng</w:t>
      </w:r>
      <w:r w:rsidR="00DF6C74" w:rsidRPr="002B6D5A">
        <w:rPr>
          <w:rFonts w:ascii="Arial" w:hAnsi="Arial" w:cs="Arial"/>
          <w:i/>
          <w:sz w:val="20"/>
          <w:lang w:val="en-US"/>
        </w:rPr>
        <w:t>à</w:t>
      </w:r>
      <w:r w:rsidRPr="002B6D5A">
        <w:rPr>
          <w:rFonts w:ascii="Arial" w:hAnsi="Arial" w:cs="Arial"/>
          <w:i/>
          <w:sz w:val="20"/>
        </w:rPr>
        <w:t>y 21 tháng 01 năm 2015 của Chính phủ</w:t>
      </w:r>
      <w:r w:rsidR="00DF6C74" w:rsidRPr="002B6D5A">
        <w:rPr>
          <w:rFonts w:ascii="Arial" w:hAnsi="Arial" w:cs="Arial"/>
          <w:i/>
          <w:sz w:val="20"/>
        </w:rPr>
        <w:t xml:space="preserve"> q</w:t>
      </w:r>
      <w:r w:rsidR="00DF6C74" w:rsidRPr="002B6D5A">
        <w:rPr>
          <w:rFonts w:ascii="Arial" w:hAnsi="Arial" w:cs="Arial"/>
          <w:i/>
          <w:sz w:val="20"/>
          <w:lang w:val="en-US"/>
        </w:rPr>
        <w:t>u</w:t>
      </w:r>
      <w:r w:rsidRPr="002B6D5A">
        <w:rPr>
          <w:rFonts w:ascii="Arial" w:hAnsi="Arial" w:cs="Arial"/>
          <w:i/>
          <w:sz w:val="20"/>
        </w:rPr>
        <w:t xml:space="preserve">y định chi </w:t>
      </w:r>
      <w:r w:rsidR="002B6D5A" w:rsidRPr="002B6D5A">
        <w:rPr>
          <w:rFonts w:ascii="Arial" w:hAnsi="Arial" w:cs="Arial"/>
          <w:i/>
          <w:sz w:val="20"/>
        </w:rPr>
        <w:t>tiết</w:t>
      </w:r>
      <w:r w:rsidRPr="002B6D5A">
        <w:rPr>
          <w:rFonts w:ascii="Arial" w:hAnsi="Arial" w:cs="Arial"/>
          <w:i/>
          <w:sz w:val="20"/>
        </w:rPr>
        <w:t xml:space="preserve"> và biện pháp thi hành Luật Hải quan về thủ tục hải quan, kiểm tra, giám sát, kiểm soát hải quan;</w:t>
      </w:r>
    </w:p>
    <w:p w14:paraId="31E86402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</w:t>
      </w:r>
      <w:r w:rsidR="00DF6C74" w:rsidRPr="002B6D5A">
        <w:rPr>
          <w:rFonts w:ascii="Arial" w:hAnsi="Arial" w:cs="Arial"/>
          <w:i/>
          <w:sz w:val="20"/>
          <w:lang w:val="en-US"/>
        </w:rPr>
        <w:t xml:space="preserve">ứ </w:t>
      </w:r>
      <w:r w:rsidRPr="002B6D5A">
        <w:rPr>
          <w:rFonts w:ascii="Arial" w:hAnsi="Arial" w:cs="Arial"/>
          <w:i/>
          <w:sz w:val="20"/>
        </w:rPr>
        <w:t>Nghị định s</w:t>
      </w:r>
      <w:r w:rsidR="00DF6C74" w:rsidRPr="002B6D5A">
        <w:rPr>
          <w:rFonts w:ascii="Arial" w:hAnsi="Arial" w:cs="Arial"/>
          <w:i/>
          <w:sz w:val="20"/>
          <w:lang w:val="en-US"/>
        </w:rPr>
        <w:t xml:space="preserve">ố </w:t>
      </w:r>
      <w:r w:rsidRPr="002B6D5A">
        <w:rPr>
          <w:rFonts w:ascii="Arial" w:hAnsi="Arial" w:cs="Arial"/>
          <w:i/>
          <w:sz w:val="20"/>
        </w:rPr>
        <w:t xml:space="preserve">59/2018/NĐ-CP ngày 20 tháng 4 năm 2018 của Chính phủ sửa đổi, bổ sung một số </w:t>
      </w:r>
      <w:r w:rsidR="002B6D5A" w:rsidRPr="002B6D5A">
        <w:rPr>
          <w:rFonts w:ascii="Arial" w:hAnsi="Arial" w:cs="Arial"/>
          <w:i/>
          <w:sz w:val="20"/>
        </w:rPr>
        <w:t>điều</w:t>
      </w:r>
      <w:r w:rsidRPr="002B6D5A">
        <w:rPr>
          <w:rFonts w:ascii="Arial" w:hAnsi="Arial" w:cs="Arial"/>
          <w:i/>
          <w:sz w:val="20"/>
        </w:rPr>
        <w:t xml:space="preserve"> của Nghị định số 08/2015/NĐ-CP ng</w:t>
      </w:r>
      <w:r w:rsidR="00DF6C74" w:rsidRPr="002B6D5A">
        <w:rPr>
          <w:rFonts w:ascii="Arial" w:hAnsi="Arial" w:cs="Arial"/>
          <w:i/>
          <w:sz w:val="20"/>
          <w:lang w:val="en-US"/>
        </w:rPr>
        <w:t>à</w:t>
      </w:r>
      <w:r w:rsidRPr="002B6D5A">
        <w:rPr>
          <w:rFonts w:ascii="Arial" w:hAnsi="Arial" w:cs="Arial"/>
          <w:i/>
          <w:sz w:val="20"/>
        </w:rPr>
        <w:t>y 21 tháng 01 năm 2015;</w:t>
      </w:r>
    </w:p>
    <w:p w14:paraId="3B516F1A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cứ Hiệp định Hải quan ASEAN k</w:t>
      </w:r>
      <w:r w:rsidR="00DF6C74" w:rsidRPr="002B6D5A">
        <w:rPr>
          <w:rFonts w:ascii="Arial" w:hAnsi="Arial" w:cs="Arial"/>
          <w:i/>
          <w:sz w:val="20"/>
          <w:lang w:val="en-US"/>
        </w:rPr>
        <w:t>ý</w:t>
      </w:r>
      <w:r w:rsidRPr="002B6D5A">
        <w:rPr>
          <w:rFonts w:ascii="Arial" w:hAnsi="Arial" w:cs="Arial"/>
          <w:i/>
          <w:sz w:val="20"/>
        </w:rPr>
        <w:t xml:space="preserve"> ngày 30 tháng </w:t>
      </w:r>
      <w:r w:rsidR="00DF6C74" w:rsidRPr="002B6D5A">
        <w:rPr>
          <w:rFonts w:ascii="Arial" w:hAnsi="Arial" w:cs="Arial"/>
          <w:i/>
          <w:sz w:val="20"/>
          <w:lang w:val="en-US"/>
        </w:rPr>
        <w:t>3</w:t>
      </w:r>
      <w:r w:rsidRPr="002B6D5A">
        <w:rPr>
          <w:rFonts w:ascii="Arial" w:hAnsi="Arial" w:cs="Arial"/>
          <w:i/>
          <w:sz w:val="20"/>
        </w:rPr>
        <w:t xml:space="preserve"> năm 2012 tại </w:t>
      </w:r>
      <w:proofErr w:type="spellStart"/>
      <w:r w:rsidR="00DF6C74" w:rsidRPr="002B6D5A">
        <w:rPr>
          <w:rFonts w:ascii="Arial" w:hAnsi="Arial" w:cs="Arial"/>
          <w:i/>
          <w:sz w:val="20"/>
          <w:lang w:val="en-US"/>
        </w:rPr>
        <w:t>Căm</w:t>
      </w:r>
      <w:proofErr w:type="spellEnd"/>
      <w:r w:rsidR="00DF6C74" w:rsidRPr="002B6D5A">
        <w:rPr>
          <w:rFonts w:ascii="Arial" w:hAnsi="Arial" w:cs="Arial"/>
          <w:i/>
          <w:sz w:val="20"/>
          <w:lang w:val="en-US"/>
        </w:rPr>
        <w:t>-</w:t>
      </w:r>
      <w:r w:rsidRPr="002B6D5A">
        <w:rPr>
          <w:rFonts w:ascii="Arial" w:hAnsi="Arial" w:cs="Arial"/>
          <w:i/>
          <w:sz w:val="20"/>
        </w:rPr>
        <w:t>pu-chia;</w:t>
      </w:r>
    </w:p>
    <w:p w14:paraId="3E201223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cứ Quyết định s</w:t>
      </w:r>
      <w:r w:rsidR="00DF6C74" w:rsidRPr="002B6D5A">
        <w:rPr>
          <w:rFonts w:ascii="Arial" w:hAnsi="Arial" w:cs="Arial"/>
          <w:i/>
          <w:sz w:val="20"/>
          <w:lang w:val="en-US"/>
        </w:rPr>
        <w:t>ố</w:t>
      </w:r>
      <w:r w:rsidRPr="002B6D5A">
        <w:rPr>
          <w:rFonts w:ascii="Arial" w:hAnsi="Arial" w:cs="Arial"/>
          <w:i/>
          <w:sz w:val="20"/>
        </w:rPr>
        <w:t xml:space="preserve"> 49/QĐ-CTN ngày 06 tháng 3 năm 1998 của Chủ tịch nước Cộng h</w:t>
      </w:r>
      <w:r w:rsidR="00DF6C74" w:rsidRPr="002B6D5A">
        <w:rPr>
          <w:rFonts w:ascii="Arial" w:hAnsi="Arial" w:cs="Arial"/>
          <w:i/>
          <w:sz w:val="20"/>
          <w:lang w:val="en-US"/>
        </w:rPr>
        <w:t>ò</w:t>
      </w:r>
      <w:r w:rsidRPr="002B6D5A">
        <w:rPr>
          <w:rFonts w:ascii="Arial" w:hAnsi="Arial" w:cs="Arial"/>
          <w:i/>
          <w:sz w:val="20"/>
        </w:rPr>
        <w:t>a xã hội chủ nghĩa Việt Nam về việc Việt Nam tham gia C</w:t>
      </w:r>
      <w:r w:rsidR="00DF6C74" w:rsidRPr="002B6D5A">
        <w:rPr>
          <w:rFonts w:ascii="Arial" w:hAnsi="Arial" w:cs="Arial"/>
          <w:i/>
          <w:sz w:val="20"/>
          <w:lang w:val="en-US"/>
        </w:rPr>
        <w:t>ô</w:t>
      </w:r>
      <w:r w:rsidRPr="002B6D5A">
        <w:rPr>
          <w:rFonts w:ascii="Arial" w:hAnsi="Arial" w:cs="Arial"/>
          <w:i/>
          <w:sz w:val="20"/>
        </w:rPr>
        <w:t>ng ước quốc t</w:t>
      </w:r>
      <w:r w:rsidR="00DF6C74" w:rsidRPr="002B6D5A">
        <w:rPr>
          <w:rFonts w:ascii="Arial" w:hAnsi="Arial" w:cs="Arial"/>
          <w:i/>
          <w:sz w:val="20"/>
          <w:lang w:val="en-US"/>
        </w:rPr>
        <w:t>ế</w:t>
      </w:r>
      <w:r w:rsidRPr="002B6D5A">
        <w:rPr>
          <w:rFonts w:ascii="Arial" w:hAnsi="Arial" w:cs="Arial"/>
          <w:i/>
          <w:sz w:val="20"/>
        </w:rPr>
        <w:t xml:space="preserve"> về Hệ thống hài hòa mô tả và mã hóa hàng hóa của Tổ chức Hải quan thế giới (Công ước HS);</w:t>
      </w:r>
    </w:p>
    <w:p w14:paraId="6F648C73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Căn cứ Nghị quyết s</w:t>
      </w:r>
      <w:r w:rsidR="00DF6C74" w:rsidRPr="002B6D5A">
        <w:rPr>
          <w:rFonts w:ascii="Arial" w:hAnsi="Arial" w:cs="Arial"/>
          <w:i/>
          <w:sz w:val="20"/>
          <w:lang w:val="en-US"/>
        </w:rPr>
        <w:t>ố</w:t>
      </w:r>
      <w:r w:rsidRPr="002B6D5A">
        <w:rPr>
          <w:rFonts w:ascii="Arial" w:hAnsi="Arial" w:cs="Arial"/>
          <w:i/>
          <w:sz w:val="20"/>
        </w:rPr>
        <w:t xml:space="preserve"> 87/2017/NQ-CP ngày 26 tháng 7 năm 2017 của Chính phủ quy định chức năng, nhiệm vụ, quyền hạn và cơ cấu tổ chức của Bộ Tài chính;</w:t>
      </w:r>
    </w:p>
    <w:p w14:paraId="7F6CF968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 xml:space="preserve">Thực hiện Nghị quyết số 29/NQ-CP ngày 08 tháng 03 năm 2022 của Chính phủ phê duyệt Danh </w:t>
      </w:r>
      <w:r w:rsidR="002B6D5A" w:rsidRPr="002B6D5A">
        <w:rPr>
          <w:rFonts w:ascii="Arial" w:hAnsi="Arial" w:cs="Arial"/>
          <w:i/>
          <w:sz w:val="20"/>
        </w:rPr>
        <w:t>mục</w:t>
      </w:r>
      <w:r w:rsidRPr="002B6D5A">
        <w:rPr>
          <w:rFonts w:ascii="Arial" w:hAnsi="Arial" w:cs="Arial"/>
          <w:i/>
          <w:sz w:val="20"/>
        </w:rPr>
        <w:t xml:space="preserve"> Biểu thuế hài h</w:t>
      </w:r>
      <w:r w:rsidR="00DF6C74" w:rsidRPr="002B6D5A">
        <w:rPr>
          <w:rFonts w:ascii="Arial" w:hAnsi="Arial" w:cs="Arial"/>
          <w:i/>
          <w:sz w:val="20"/>
          <w:lang w:val="en-US"/>
        </w:rPr>
        <w:t>ò</w:t>
      </w:r>
      <w:r w:rsidRPr="002B6D5A">
        <w:rPr>
          <w:rFonts w:ascii="Arial" w:hAnsi="Arial" w:cs="Arial"/>
          <w:i/>
          <w:sz w:val="20"/>
        </w:rPr>
        <w:t>a ASEAN phiên bản 2022;</w:t>
      </w:r>
    </w:p>
    <w:p w14:paraId="12A8FEB3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>Theo đề nghị của T</w:t>
      </w:r>
      <w:r w:rsidR="00DF6C74" w:rsidRPr="002B6D5A">
        <w:rPr>
          <w:rFonts w:ascii="Arial" w:hAnsi="Arial" w:cs="Arial"/>
          <w:i/>
          <w:sz w:val="20"/>
          <w:lang w:val="en-US"/>
        </w:rPr>
        <w:t>ổ</w:t>
      </w:r>
      <w:r w:rsidRPr="002B6D5A">
        <w:rPr>
          <w:rFonts w:ascii="Arial" w:hAnsi="Arial" w:cs="Arial"/>
          <w:i/>
          <w:sz w:val="20"/>
        </w:rPr>
        <w:t>ng cục trưởng Tổng cục Hải quan;</w:t>
      </w:r>
    </w:p>
    <w:p w14:paraId="783FCC80" w14:textId="77777777" w:rsidR="000E2D3A" w:rsidRPr="002B6D5A" w:rsidRDefault="000E2D3A" w:rsidP="00931E04">
      <w:pPr>
        <w:spacing w:before="120"/>
        <w:rPr>
          <w:rFonts w:ascii="Arial" w:hAnsi="Arial" w:cs="Arial"/>
          <w:i/>
          <w:sz w:val="20"/>
        </w:rPr>
      </w:pPr>
      <w:r w:rsidRPr="002B6D5A">
        <w:rPr>
          <w:rFonts w:ascii="Arial" w:hAnsi="Arial" w:cs="Arial"/>
          <w:i/>
          <w:sz w:val="20"/>
        </w:rPr>
        <w:t xml:space="preserve">Bộ trưởng Bộ Tài chính ban hành Danh </w:t>
      </w:r>
      <w:r w:rsidR="002B6D5A" w:rsidRPr="002B6D5A">
        <w:rPr>
          <w:rFonts w:ascii="Arial" w:hAnsi="Arial" w:cs="Arial"/>
          <w:i/>
          <w:sz w:val="20"/>
        </w:rPr>
        <w:t>mục</w:t>
      </w:r>
      <w:r w:rsidRPr="002B6D5A">
        <w:rPr>
          <w:rFonts w:ascii="Arial" w:hAnsi="Arial" w:cs="Arial"/>
          <w:i/>
          <w:sz w:val="20"/>
        </w:rPr>
        <w:t xml:space="preserve"> hàng hóa xuất khẩu nhập khẩu Việt Nam.</w:t>
      </w:r>
    </w:p>
    <w:p w14:paraId="42954289" w14:textId="77777777" w:rsidR="000E2D3A" w:rsidRPr="002B6D5A" w:rsidRDefault="002B6D5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b/>
          <w:sz w:val="20"/>
        </w:rPr>
        <w:t>Điều</w:t>
      </w:r>
      <w:r w:rsidR="000E2D3A" w:rsidRPr="002B6D5A">
        <w:rPr>
          <w:rFonts w:ascii="Arial" w:hAnsi="Arial" w:cs="Arial"/>
          <w:b/>
          <w:sz w:val="20"/>
        </w:rPr>
        <w:t xml:space="preserve"> 1. Ban hành kèm theo Thông tư n</w:t>
      </w:r>
      <w:r w:rsidR="00DF6C74" w:rsidRPr="002B6D5A">
        <w:rPr>
          <w:rFonts w:ascii="Arial" w:hAnsi="Arial" w:cs="Arial"/>
          <w:b/>
          <w:sz w:val="20"/>
          <w:lang w:val="en-US"/>
        </w:rPr>
        <w:t>à</w:t>
      </w:r>
      <w:r w:rsidR="000E2D3A" w:rsidRPr="002B6D5A">
        <w:rPr>
          <w:rFonts w:ascii="Arial" w:hAnsi="Arial" w:cs="Arial"/>
          <w:b/>
          <w:sz w:val="20"/>
        </w:rPr>
        <w:t xml:space="preserve">y Danh </w:t>
      </w:r>
      <w:proofErr w:type="spellStart"/>
      <w:r w:rsidRPr="002B6D5A">
        <w:rPr>
          <w:rFonts w:ascii="Arial" w:hAnsi="Arial" w:cs="Arial"/>
          <w:b/>
          <w:sz w:val="20"/>
          <w:lang w:val="en-US"/>
        </w:rPr>
        <w:t>mục</w:t>
      </w:r>
      <w:proofErr w:type="spellEnd"/>
      <w:r w:rsidR="000E2D3A" w:rsidRPr="002B6D5A">
        <w:rPr>
          <w:rFonts w:ascii="Arial" w:hAnsi="Arial" w:cs="Arial"/>
          <w:b/>
          <w:sz w:val="20"/>
        </w:rPr>
        <w:t xml:space="preserve"> </w:t>
      </w:r>
      <w:proofErr w:type="spellStart"/>
      <w:r w:rsidR="00DF6C74" w:rsidRPr="002B6D5A">
        <w:rPr>
          <w:rFonts w:ascii="Arial" w:hAnsi="Arial" w:cs="Arial"/>
          <w:b/>
          <w:sz w:val="20"/>
          <w:lang w:val="en-US"/>
        </w:rPr>
        <w:t>hàng</w:t>
      </w:r>
      <w:proofErr w:type="spellEnd"/>
      <w:r w:rsidR="000E2D3A" w:rsidRPr="002B6D5A">
        <w:rPr>
          <w:rFonts w:ascii="Arial" w:hAnsi="Arial" w:cs="Arial"/>
          <w:b/>
          <w:sz w:val="20"/>
        </w:rPr>
        <w:t xml:space="preserve"> hoá </w:t>
      </w:r>
      <w:proofErr w:type="spellStart"/>
      <w:r w:rsidR="00DF6C74" w:rsidRPr="002B6D5A">
        <w:rPr>
          <w:rFonts w:ascii="Arial" w:hAnsi="Arial" w:cs="Arial"/>
          <w:b/>
          <w:sz w:val="20"/>
          <w:lang w:val="en-US"/>
        </w:rPr>
        <w:t>xuất</w:t>
      </w:r>
      <w:proofErr w:type="spellEnd"/>
      <w:r w:rsidR="000E2D3A" w:rsidRPr="002B6D5A">
        <w:rPr>
          <w:rFonts w:ascii="Arial" w:hAnsi="Arial" w:cs="Arial"/>
          <w:b/>
          <w:sz w:val="20"/>
        </w:rPr>
        <w:t xml:space="preserve"> khẩu, nhập kh</w:t>
      </w:r>
      <w:r w:rsidR="00DF6C74" w:rsidRPr="002B6D5A">
        <w:rPr>
          <w:rFonts w:ascii="Arial" w:hAnsi="Arial" w:cs="Arial"/>
          <w:b/>
          <w:sz w:val="20"/>
          <w:lang w:val="en-US"/>
        </w:rPr>
        <w:t>ẩ</w:t>
      </w:r>
      <w:r w:rsidR="000E2D3A" w:rsidRPr="002B6D5A">
        <w:rPr>
          <w:rFonts w:ascii="Arial" w:hAnsi="Arial" w:cs="Arial"/>
          <w:b/>
          <w:sz w:val="20"/>
        </w:rPr>
        <w:t>u Việt Nam</w:t>
      </w:r>
      <w:r w:rsidR="000E2D3A" w:rsidRPr="002B6D5A">
        <w:rPr>
          <w:rFonts w:ascii="Arial" w:hAnsi="Arial" w:cs="Arial"/>
          <w:sz w:val="20"/>
        </w:rPr>
        <w:t>, gồm hai (2) phụ lục:</w:t>
      </w:r>
    </w:p>
    <w:p w14:paraId="73265B4E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 xml:space="preserve">Phụ lục I -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</w:t>
      </w:r>
      <w:r w:rsidR="00DF6C74" w:rsidRPr="002B6D5A">
        <w:rPr>
          <w:rFonts w:ascii="Arial" w:hAnsi="Arial" w:cs="Arial"/>
          <w:sz w:val="20"/>
          <w:lang w:val="en-US"/>
        </w:rPr>
        <w:t>à</w:t>
      </w:r>
      <w:r w:rsidRPr="002B6D5A">
        <w:rPr>
          <w:rFonts w:ascii="Arial" w:hAnsi="Arial" w:cs="Arial"/>
          <w:sz w:val="20"/>
        </w:rPr>
        <w:t>ng hóa xuất khẩu, nhập kh</w:t>
      </w:r>
      <w:r w:rsidR="00DF6C74" w:rsidRPr="002B6D5A">
        <w:rPr>
          <w:rFonts w:ascii="Arial" w:hAnsi="Arial" w:cs="Arial"/>
          <w:sz w:val="20"/>
          <w:lang w:val="en-US"/>
        </w:rPr>
        <w:t>ẩ</w:t>
      </w:r>
      <w:r w:rsidRPr="002B6D5A">
        <w:rPr>
          <w:rFonts w:ascii="Arial" w:hAnsi="Arial" w:cs="Arial"/>
          <w:sz w:val="20"/>
        </w:rPr>
        <w:t>u Việt Nam.</w:t>
      </w:r>
    </w:p>
    <w:p w14:paraId="2189C1DD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 xml:space="preserve">Phụ lục </w:t>
      </w:r>
      <w:r w:rsidR="00DF6C74" w:rsidRPr="002B6D5A">
        <w:rPr>
          <w:rFonts w:ascii="Arial" w:hAnsi="Arial" w:cs="Arial"/>
          <w:sz w:val="20"/>
          <w:lang w:val="en-US"/>
        </w:rPr>
        <w:t>II</w:t>
      </w:r>
      <w:r w:rsidRPr="002B6D5A">
        <w:rPr>
          <w:rFonts w:ascii="Arial" w:hAnsi="Arial" w:cs="Arial"/>
          <w:sz w:val="20"/>
        </w:rPr>
        <w:t xml:space="preserve"> - Sáu (</w:t>
      </w:r>
      <w:r w:rsidR="00DF6C74" w:rsidRPr="002B6D5A">
        <w:rPr>
          <w:rFonts w:ascii="Arial" w:hAnsi="Arial" w:cs="Arial"/>
          <w:sz w:val="20"/>
          <w:lang w:val="en-US"/>
        </w:rPr>
        <w:t>6</w:t>
      </w:r>
      <w:r w:rsidRPr="002B6D5A">
        <w:rPr>
          <w:rFonts w:ascii="Arial" w:hAnsi="Arial" w:cs="Arial"/>
          <w:sz w:val="20"/>
        </w:rPr>
        <w:t xml:space="preserve">) quy tắc tổng quát giải thích việc phân loại hàng hóa theo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</w:t>
      </w:r>
      <w:r w:rsidR="00DF6C74" w:rsidRPr="002B6D5A">
        <w:rPr>
          <w:rFonts w:ascii="Arial" w:hAnsi="Arial" w:cs="Arial"/>
          <w:sz w:val="20"/>
          <w:lang w:val="en-US"/>
        </w:rPr>
        <w:t>ó</w:t>
      </w:r>
      <w:r w:rsidRPr="002B6D5A">
        <w:rPr>
          <w:rFonts w:ascii="Arial" w:hAnsi="Arial" w:cs="Arial"/>
          <w:sz w:val="20"/>
        </w:rPr>
        <w:t>a xuất khẩu, nhập khẩu Việt Nạm dựa trên Hệ thống hài hòa mô tả và mã h</w:t>
      </w:r>
      <w:r w:rsidR="00DF6C74" w:rsidRPr="002B6D5A">
        <w:rPr>
          <w:rFonts w:ascii="Arial" w:hAnsi="Arial" w:cs="Arial"/>
          <w:sz w:val="20"/>
          <w:lang w:val="en-US"/>
        </w:rPr>
        <w:t>ó</w:t>
      </w:r>
      <w:r w:rsidRPr="002B6D5A">
        <w:rPr>
          <w:rFonts w:ascii="Arial" w:hAnsi="Arial" w:cs="Arial"/>
          <w:sz w:val="20"/>
        </w:rPr>
        <w:t xml:space="preserve">a hàng hóa của Tổ chức Hải quan </w:t>
      </w:r>
      <w:proofErr w:type="spellStart"/>
      <w:r w:rsidR="00DF6C74" w:rsidRPr="002B6D5A">
        <w:rPr>
          <w:rFonts w:ascii="Arial" w:hAnsi="Arial" w:cs="Arial"/>
          <w:sz w:val="20"/>
          <w:lang w:val="en-US"/>
        </w:rPr>
        <w:t>thế</w:t>
      </w:r>
      <w:proofErr w:type="spellEnd"/>
      <w:r w:rsidR="00DF6C74" w:rsidRPr="002B6D5A">
        <w:rPr>
          <w:rFonts w:ascii="Arial" w:hAnsi="Arial" w:cs="Arial"/>
          <w:sz w:val="20"/>
          <w:lang w:val="en-US"/>
        </w:rPr>
        <w:t xml:space="preserve"> </w:t>
      </w:r>
      <w:proofErr w:type="spellStart"/>
      <w:r w:rsidR="00DF6C74" w:rsidRPr="002B6D5A">
        <w:rPr>
          <w:rFonts w:ascii="Arial" w:hAnsi="Arial" w:cs="Arial"/>
          <w:sz w:val="20"/>
          <w:lang w:val="en-US"/>
        </w:rPr>
        <w:t>giới</w:t>
      </w:r>
      <w:proofErr w:type="spellEnd"/>
      <w:r w:rsidRPr="002B6D5A">
        <w:rPr>
          <w:rFonts w:ascii="Arial" w:hAnsi="Arial" w:cs="Arial"/>
          <w:sz w:val="20"/>
        </w:rPr>
        <w:t>.</w:t>
      </w:r>
    </w:p>
    <w:p w14:paraId="3CDEFEF2" w14:textId="77777777" w:rsidR="000E2D3A" w:rsidRPr="002B6D5A" w:rsidRDefault="002B6D5A" w:rsidP="00931E04">
      <w:pPr>
        <w:spacing w:before="120"/>
        <w:rPr>
          <w:rFonts w:ascii="Arial" w:hAnsi="Arial" w:cs="Arial"/>
          <w:b/>
          <w:sz w:val="20"/>
        </w:rPr>
      </w:pPr>
      <w:r w:rsidRPr="002B6D5A">
        <w:rPr>
          <w:rFonts w:ascii="Arial" w:hAnsi="Arial" w:cs="Arial"/>
          <w:b/>
          <w:sz w:val="20"/>
        </w:rPr>
        <w:t>Điều</w:t>
      </w:r>
      <w:r w:rsidR="000E2D3A" w:rsidRPr="002B6D5A">
        <w:rPr>
          <w:rFonts w:ascii="Arial" w:hAnsi="Arial" w:cs="Arial"/>
          <w:b/>
          <w:sz w:val="20"/>
        </w:rPr>
        <w:t xml:space="preserve"> 2. Đối tượng áp dụng</w:t>
      </w:r>
    </w:p>
    <w:p w14:paraId="51E76494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1. Tổ chức, cá nhân thực hiện xuất khẩu, nhập khẩu hàng hóa.</w:t>
      </w:r>
    </w:p>
    <w:p w14:paraId="350A535D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2. Tổ chức, cá nhân có quyền và nghĩa vụ liên quan đến h</w:t>
      </w:r>
      <w:r w:rsidR="00DF6C74" w:rsidRPr="002B6D5A">
        <w:rPr>
          <w:rFonts w:ascii="Arial" w:hAnsi="Arial" w:cs="Arial"/>
          <w:sz w:val="20"/>
          <w:lang w:val="en-US"/>
        </w:rPr>
        <w:t>à</w:t>
      </w:r>
      <w:r w:rsidRPr="002B6D5A">
        <w:rPr>
          <w:rFonts w:ascii="Arial" w:hAnsi="Arial" w:cs="Arial"/>
          <w:sz w:val="20"/>
        </w:rPr>
        <w:t>ng hóa xuất khẩu, nhập kh</w:t>
      </w:r>
      <w:r w:rsidR="00DF6C74" w:rsidRPr="002B6D5A">
        <w:rPr>
          <w:rFonts w:ascii="Arial" w:hAnsi="Arial" w:cs="Arial"/>
          <w:sz w:val="20"/>
          <w:lang w:val="en-US"/>
        </w:rPr>
        <w:t>ẩ</w:t>
      </w:r>
      <w:r w:rsidRPr="002B6D5A">
        <w:rPr>
          <w:rFonts w:ascii="Arial" w:hAnsi="Arial" w:cs="Arial"/>
          <w:sz w:val="20"/>
        </w:rPr>
        <w:t>u.</w:t>
      </w:r>
    </w:p>
    <w:p w14:paraId="682CE934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3. Cơ quan hải quan, công chức hải quan.</w:t>
      </w:r>
    </w:p>
    <w:p w14:paraId="1DFB689A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4</w:t>
      </w:r>
      <w:r w:rsidR="00DF6C74" w:rsidRPr="002B6D5A">
        <w:rPr>
          <w:rFonts w:ascii="Arial" w:hAnsi="Arial" w:cs="Arial"/>
          <w:sz w:val="20"/>
          <w:lang w:val="en-US"/>
        </w:rPr>
        <w:t xml:space="preserve">. </w:t>
      </w:r>
      <w:r w:rsidRPr="002B6D5A">
        <w:rPr>
          <w:rFonts w:ascii="Arial" w:hAnsi="Arial" w:cs="Arial"/>
          <w:sz w:val="20"/>
        </w:rPr>
        <w:t>Cơ quan khác của Nhà nước trong việc phối hợp quản lý nhà nước về</w:t>
      </w:r>
      <w:r w:rsidR="00DF6C74" w:rsidRPr="002B6D5A">
        <w:rPr>
          <w:rFonts w:ascii="Arial" w:hAnsi="Arial" w:cs="Arial"/>
          <w:sz w:val="20"/>
        </w:rPr>
        <w:t xml:space="preserve"> h</w:t>
      </w:r>
      <w:proofErr w:type="spellStart"/>
      <w:r w:rsidR="00DF6C74" w:rsidRPr="002B6D5A">
        <w:rPr>
          <w:rFonts w:ascii="Arial" w:hAnsi="Arial" w:cs="Arial"/>
          <w:sz w:val="20"/>
          <w:lang w:val="en-US"/>
        </w:rPr>
        <w:t>ải</w:t>
      </w:r>
      <w:proofErr w:type="spellEnd"/>
      <w:r w:rsidRPr="002B6D5A">
        <w:rPr>
          <w:rFonts w:ascii="Arial" w:hAnsi="Arial" w:cs="Arial"/>
          <w:sz w:val="20"/>
        </w:rPr>
        <w:t xml:space="preserve"> quan và quản lý hàng hóa xuất nhập khẩu.</w:t>
      </w:r>
    </w:p>
    <w:p w14:paraId="50E8A753" w14:textId="77777777" w:rsidR="000E2D3A" w:rsidRPr="002B6D5A" w:rsidRDefault="002B6D5A" w:rsidP="00931E04">
      <w:pPr>
        <w:spacing w:before="120"/>
        <w:rPr>
          <w:rFonts w:ascii="Arial" w:hAnsi="Arial" w:cs="Arial"/>
          <w:b/>
          <w:sz w:val="20"/>
        </w:rPr>
      </w:pPr>
      <w:r w:rsidRPr="002B6D5A">
        <w:rPr>
          <w:rFonts w:ascii="Arial" w:hAnsi="Arial" w:cs="Arial"/>
          <w:b/>
          <w:sz w:val="20"/>
        </w:rPr>
        <w:t>Điều</w:t>
      </w:r>
      <w:r w:rsidR="000E2D3A" w:rsidRPr="002B6D5A">
        <w:rPr>
          <w:rFonts w:ascii="Arial" w:hAnsi="Arial" w:cs="Arial"/>
          <w:b/>
          <w:sz w:val="20"/>
        </w:rPr>
        <w:t xml:space="preserve"> 3. Nguyên tắc áp dụng</w:t>
      </w:r>
    </w:p>
    <w:p w14:paraId="0867EAA8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 xml:space="preserve">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hóa xuất khẩu, nhập khẩu Việt Nam được sử dụng để:</w:t>
      </w:r>
    </w:p>
    <w:p w14:paraId="15A1D7CC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1. Xây dựng các Biểu thu</w:t>
      </w:r>
      <w:r w:rsidR="00DF6C74" w:rsidRPr="002B6D5A">
        <w:rPr>
          <w:rFonts w:ascii="Arial" w:hAnsi="Arial" w:cs="Arial"/>
          <w:sz w:val="20"/>
          <w:lang w:val="en-US"/>
        </w:rPr>
        <w:t>ế</w:t>
      </w:r>
      <w:r w:rsidRPr="002B6D5A">
        <w:rPr>
          <w:rFonts w:ascii="Arial" w:hAnsi="Arial" w:cs="Arial"/>
          <w:sz w:val="20"/>
        </w:rPr>
        <w:t xml:space="preserve"> áp dụng đối với hàng hóa xuất khẩu, nhập kh</w:t>
      </w:r>
      <w:r w:rsidR="00DF6C74" w:rsidRPr="002B6D5A">
        <w:rPr>
          <w:rFonts w:ascii="Arial" w:hAnsi="Arial" w:cs="Arial"/>
          <w:sz w:val="20"/>
          <w:lang w:val="en-US"/>
        </w:rPr>
        <w:t>ẩ</w:t>
      </w:r>
      <w:r w:rsidRPr="002B6D5A">
        <w:rPr>
          <w:rFonts w:ascii="Arial" w:hAnsi="Arial" w:cs="Arial"/>
          <w:sz w:val="20"/>
        </w:rPr>
        <w:t>u.</w:t>
      </w:r>
    </w:p>
    <w:p w14:paraId="7CE05963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 xml:space="preserve">2. Xây dựng các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hóa phục vụ quản lý nhà nước theo quy định của Chính phủ và quy định tại </w:t>
      </w:r>
      <w:bookmarkStart w:id="0" w:name="dc_1"/>
      <w:r w:rsidR="002B6D5A" w:rsidRPr="002B6D5A">
        <w:rPr>
          <w:rFonts w:ascii="Arial" w:hAnsi="Arial" w:cs="Arial"/>
          <w:sz w:val="20"/>
        </w:rPr>
        <w:t>khoản</w:t>
      </w:r>
      <w:r w:rsidRPr="002B6D5A">
        <w:rPr>
          <w:rFonts w:ascii="Arial" w:hAnsi="Arial" w:cs="Arial"/>
          <w:sz w:val="20"/>
        </w:rPr>
        <w:t xml:space="preserve"> 4 </w:t>
      </w:r>
      <w:r w:rsidR="002B6D5A" w:rsidRPr="002B6D5A">
        <w:rPr>
          <w:rFonts w:ascii="Arial" w:hAnsi="Arial" w:cs="Arial"/>
          <w:sz w:val="20"/>
        </w:rPr>
        <w:t>Điều</w:t>
      </w:r>
      <w:r w:rsidRPr="002B6D5A">
        <w:rPr>
          <w:rFonts w:ascii="Arial" w:hAnsi="Arial" w:cs="Arial"/>
          <w:sz w:val="20"/>
        </w:rPr>
        <w:t xml:space="preserve"> 26 Luật Hải quan.</w:t>
      </w:r>
      <w:bookmarkEnd w:id="0"/>
    </w:p>
    <w:p w14:paraId="45D23894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3. Thống kê Nhà nước về hàng hóa xuất khẩu, nhập khẩu.</w:t>
      </w:r>
    </w:p>
    <w:p w14:paraId="2CD16B4C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4. Phục vụ công tác quản lý nhà nước về xuất khẩu, nhập kh</w:t>
      </w:r>
      <w:r w:rsidR="00DF6C74" w:rsidRPr="002B6D5A">
        <w:rPr>
          <w:rFonts w:ascii="Arial" w:hAnsi="Arial" w:cs="Arial"/>
          <w:sz w:val="20"/>
          <w:lang w:val="en-US"/>
        </w:rPr>
        <w:t>ẩ</w:t>
      </w:r>
      <w:r w:rsidRPr="002B6D5A">
        <w:rPr>
          <w:rFonts w:ascii="Arial" w:hAnsi="Arial" w:cs="Arial"/>
          <w:sz w:val="20"/>
        </w:rPr>
        <w:t>u h</w:t>
      </w:r>
      <w:r w:rsidR="00DF6C74" w:rsidRPr="002B6D5A">
        <w:rPr>
          <w:rFonts w:ascii="Arial" w:hAnsi="Arial" w:cs="Arial"/>
          <w:sz w:val="20"/>
          <w:lang w:val="en-US"/>
        </w:rPr>
        <w:t>à</w:t>
      </w:r>
      <w:r w:rsidRPr="002B6D5A">
        <w:rPr>
          <w:rFonts w:ascii="Arial" w:hAnsi="Arial" w:cs="Arial"/>
          <w:sz w:val="20"/>
        </w:rPr>
        <w:t>ng hóa và các lĩnh vực khác.</w:t>
      </w:r>
    </w:p>
    <w:p w14:paraId="790DFACD" w14:textId="77777777" w:rsidR="000E2D3A" w:rsidRPr="002B6D5A" w:rsidRDefault="002B6D5A" w:rsidP="00931E04">
      <w:pPr>
        <w:spacing w:before="120"/>
        <w:rPr>
          <w:rFonts w:ascii="Arial" w:hAnsi="Arial" w:cs="Arial"/>
          <w:b/>
          <w:sz w:val="20"/>
        </w:rPr>
      </w:pPr>
      <w:r w:rsidRPr="002B6D5A">
        <w:rPr>
          <w:rFonts w:ascii="Arial" w:hAnsi="Arial" w:cs="Arial"/>
          <w:b/>
          <w:sz w:val="20"/>
        </w:rPr>
        <w:t>Điều</w:t>
      </w:r>
      <w:r w:rsidR="000E2D3A" w:rsidRPr="002B6D5A">
        <w:rPr>
          <w:rFonts w:ascii="Arial" w:hAnsi="Arial" w:cs="Arial"/>
          <w:b/>
          <w:sz w:val="20"/>
        </w:rPr>
        <w:t xml:space="preserve"> 4. Tổ chức thực hiện</w:t>
      </w:r>
    </w:p>
    <w:p w14:paraId="285B9385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>1. Thông tư này có</w:t>
      </w:r>
      <w:r w:rsidR="00DF6C74" w:rsidRPr="002B6D5A">
        <w:rPr>
          <w:rFonts w:ascii="Arial" w:hAnsi="Arial" w:cs="Arial"/>
          <w:sz w:val="20"/>
          <w:lang w:val="en-US"/>
        </w:rPr>
        <w:t xml:space="preserve"> </w:t>
      </w:r>
      <w:r w:rsidRPr="002B6D5A">
        <w:rPr>
          <w:rFonts w:ascii="Arial" w:hAnsi="Arial" w:cs="Arial"/>
          <w:sz w:val="20"/>
        </w:rPr>
        <w:t>hiệu</w:t>
      </w:r>
      <w:r w:rsidR="00DF6C74" w:rsidRPr="002B6D5A">
        <w:rPr>
          <w:rFonts w:ascii="Arial" w:hAnsi="Arial" w:cs="Arial"/>
          <w:sz w:val="20"/>
          <w:lang w:val="en-US"/>
        </w:rPr>
        <w:t xml:space="preserve"> </w:t>
      </w:r>
      <w:r w:rsidRPr="002B6D5A">
        <w:rPr>
          <w:rFonts w:ascii="Arial" w:hAnsi="Arial" w:cs="Arial"/>
          <w:sz w:val="20"/>
        </w:rPr>
        <w:t>lực thi hành kể từ ngày 01 tháng 12 năm 2022.</w:t>
      </w:r>
    </w:p>
    <w:p w14:paraId="5C371155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</w:rPr>
      </w:pPr>
      <w:r w:rsidRPr="002B6D5A">
        <w:rPr>
          <w:rFonts w:ascii="Arial" w:hAnsi="Arial" w:cs="Arial"/>
          <w:sz w:val="20"/>
        </w:rPr>
        <w:t xml:space="preserve">2. Thông tư này thay thế Thông tư số 65/2017/TT-BTC ngày 27/6/2017 của Bộ trưởng Bộ Tài chính ban hành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hóa xuất khẩu, nhập kh</w:t>
      </w:r>
      <w:proofErr w:type="spellStart"/>
      <w:r w:rsidR="00DF6C74" w:rsidRPr="002B6D5A">
        <w:rPr>
          <w:rFonts w:ascii="Arial" w:hAnsi="Arial" w:cs="Arial"/>
          <w:sz w:val="20"/>
          <w:lang w:val="en-US"/>
        </w:rPr>
        <w:t>ẩu</w:t>
      </w:r>
      <w:proofErr w:type="spellEnd"/>
      <w:r w:rsidRPr="002B6D5A">
        <w:rPr>
          <w:rFonts w:ascii="Arial" w:hAnsi="Arial" w:cs="Arial"/>
          <w:sz w:val="20"/>
        </w:rPr>
        <w:t xml:space="preserve"> Việt Nam và Thông tư số 09/2019/TT-BTC ngày 15/02/2019 của Bộ trưởng Bộ Tài chính sửa đổi, bổ sung một số nội dung tại các Phụ lục của Thông </w:t>
      </w:r>
      <w:proofErr w:type="spellStart"/>
      <w:r w:rsidR="00DF6C74" w:rsidRPr="002B6D5A">
        <w:rPr>
          <w:rFonts w:ascii="Arial" w:hAnsi="Arial" w:cs="Arial"/>
          <w:sz w:val="20"/>
          <w:lang w:val="en-US"/>
        </w:rPr>
        <w:t>tư</w:t>
      </w:r>
      <w:proofErr w:type="spellEnd"/>
      <w:r w:rsidRPr="002B6D5A">
        <w:rPr>
          <w:rFonts w:ascii="Arial" w:hAnsi="Arial" w:cs="Arial"/>
          <w:sz w:val="20"/>
        </w:rPr>
        <w:t xml:space="preserve"> số 65/2017/TT-BTC ngày 27/6/2017 của Bộ trưởng Bộ Tài chính ban hành Danh </w:t>
      </w:r>
      <w:r w:rsidR="002B6D5A" w:rsidRPr="002B6D5A">
        <w:rPr>
          <w:rFonts w:ascii="Arial" w:hAnsi="Arial" w:cs="Arial"/>
          <w:sz w:val="20"/>
        </w:rPr>
        <w:t>mục</w:t>
      </w:r>
      <w:r w:rsidRPr="002B6D5A">
        <w:rPr>
          <w:rFonts w:ascii="Arial" w:hAnsi="Arial" w:cs="Arial"/>
          <w:sz w:val="20"/>
        </w:rPr>
        <w:t xml:space="preserve"> hàng hóa xuất khẩu, nhập khẩu Việt Nam.</w:t>
      </w:r>
    </w:p>
    <w:p w14:paraId="47A0D6AD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  <w:lang w:val="en-US"/>
        </w:rPr>
      </w:pPr>
      <w:r w:rsidRPr="002B6D5A">
        <w:rPr>
          <w:rFonts w:ascii="Arial" w:hAnsi="Arial" w:cs="Arial"/>
          <w:sz w:val="20"/>
        </w:rPr>
        <w:t>3. Quá trình thực hiện, nếu các văn bản liên quan đề cập tại Thông tư n</w:t>
      </w:r>
      <w:r w:rsidR="00DF6C74" w:rsidRPr="002B6D5A">
        <w:rPr>
          <w:rFonts w:ascii="Arial" w:hAnsi="Arial" w:cs="Arial"/>
          <w:sz w:val="20"/>
          <w:lang w:val="en-US"/>
        </w:rPr>
        <w:t>à</w:t>
      </w:r>
      <w:r w:rsidRPr="002B6D5A">
        <w:rPr>
          <w:rFonts w:ascii="Arial" w:hAnsi="Arial" w:cs="Arial"/>
          <w:sz w:val="20"/>
        </w:rPr>
        <w:t>y được sửa đổi, bổ sung hoặc thay thế thì thực hiện theo văn bản mới được sửa đổi, bổ sung hoặc thay thế đó./</w:t>
      </w:r>
      <w:r w:rsidR="00DF6C74" w:rsidRPr="002B6D5A">
        <w:rPr>
          <w:rFonts w:ascii="Arial" w:hAnsi="Arial" w:cs="Arial"/>
          <w:sz w:val="20"/>
          <w:lang w:val="en-US"/>
        </w:rPr>
        <w:t>.</w:t>
      </w:r>
    </w:p>
    <w:p w14:paraId="00587ACD" w14:textId="77777777" w:rsidR="00DF6C74" w:rsidRPr="002B6D5A" w:rsidRDefault="00DF6C74" w:rsidP="00931E04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DF6C74" w:rsidRPr="00044762" w14:paraId="694806A8" w14:textId="77777777" w:rsidTr="00044762">
        <w:tc>
          <w:tcPr>
            <w:tcW w:w="4428" w:type="dxa"/>
            <w:shd w:val="clear" w:color="auto" w:fill="auto"/>
          </w:tcPr>
          <w:p w14:paraId="5D6BB6AE" w14:textId="77777777" w:rsidR="00DF6C74" w:rsidRPr="00044762" w:rsidRDefault="00DF6C74" w:rsidP="00044762">
            <w:pPr>
              <w:spacing w:before="120"/>
              <w:rPr>
                <w:rFonts w:ascii="Arial" w:eastAsia="Times New Roman" w:hAnsi="Arial" w:cs="Arial"/>
                <w:sz w:val="20"/>
                <w:szCs w:val="20"/>
              </w:rPr>
            </w:pPr>
            <w:r w:rsidRPr="0004476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  <w:t>Nơi nhận:</w:t>
            </w:r>
            <w:r w:rsidRPr="00044762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br/>
            </w:r>
            <w:r w:rsidRPr="00044762">
              <w:rPr>
                <w:rFonts w:ascii="Arial" w:eastAsia="Times New Roman" w:hAnsi="Arial" w:cs="Arial"/>
                <w:sz w:val="16"/>
                <w:szCs w:val="16"/>
              </w:rPr>
              <w:t xml:space="preserve">- </w:t>
            </w:r>
            <w:r w:rsidRPr="00044762">
              <w:rPr>
                <w:rFonts w:ascii="Arial" w:eastAsia="Times New Roman" w:hAnsi="Arial" w:cs="Arial"/>
                <w:sz w:val="16"/>
              </w:rPr>
              <w:t>Thủ tướng Chính phủ, các Phó TTCP;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Văn ph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ò</w:t>
            </w:r>
            <w:r w:rsidRPr="00044762">
              <w:rPr>
                <w:rFonts w:ascii="Arial" w:eastAsia="Times New Roman" w:hAnsi="Arial" w:cs="Arial"/>
                <w:sz w:val="16"/>
              </w:rPr>
              <w:t>ng TW Đảng và các ban của Đảng;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Văn phòng Quốc hội;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V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ă</w:t>
            </w:r>
            <w:r w:rsidRPr="00044762">
              <w:rPr>
                <w:rFonts w:ascii="Arial" w:eastAsia="Times New Roman" w:hAnsi="Arial" w:cs="Arial"/>
                <w:sz w:val="16"/>
              </w:rPr>
              <w:t>n phòng Chủ tịch nước;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V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ă</w:t>
            </w:r>
            <w:r w:rsidRPr="00044762">
              <w:rPr>
                <w:rFonts w:ascii="Arial" w:eastAsia="Times New Roman" w:hAnsi="Arial" w:cs="Arial"/>
                <w:sz w:val="16"/>
              </w:rPr>
              <w:t>n phòng Chính phủ;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Toà án nhân dân TC;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Viện Kiểm sát nhân dân TC;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Ki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ể</w:t>
            </w:r>
            <w:r w:rsidRPr="00044762">
              <w:rPr>
                <w:rFonts w:ascii="Arial" w:eastAsia="Times New Roman" w:hAnsi="Arial" w:cs="Arial"/>
                <w:sz w:val="16"/>
              </w:rPr>
              <w:t xml:space="preserve">m toán Nhà </w:t>
            </w:r>
            <w:proofErr w:type="spellStart"/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nước</w:t>
            </w:r>
            <w:proofErr w:type="spellEnd"/>
            <w:r w:rsidRPr="00044762">
              <w:rPr>
                <w:rFonts w:ascii="Arial" w:eastAsia="Times New Roman" w:hAnsi="Arial" w:cs="Arial"/>
                <w:sz w:val="16"/>
              </w:rPr>
              <w:t>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Ban Nội chính trung ương;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 xml:space="preserve">- Các 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B</w:t>
            </w:r>
            <w:r w:rsidRPr="00044762">
              <w:rPr>
                <w:rFonts w:ascii="Arial" w:eastAsia="Times New Roman" w:hAnsi="Arial" w:cs="Arial"/>
                <w:sz w:val="16"/>
              </w:rPr>
              <w:t xml:space="preserve">ộ, cơ quan ngang 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B</w:t>
            </w:r>
            <w:r w:rsidRPr="00044762">
              <w:rPr>
                <w:rFonts w:ascii="Arial" w:eastAsia="Times New Roman" w:hAnsi="Arial" w:cs="Arial"/>
                <w:sz w:val="16"/>
              </w:rPr>
              <w:t>ộ, cơ quan thuộc CP;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UBND các t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ỉ</w:t>
            </w:r>
            <w:r w:rsidRPr="00044762">
              <w:rPr>
                <w:rFonts w:ascii="Arial" w:eastAsia="Times New Roman" w:hAnsi="Arial" w:cs="Arial"/>
                <w:sz w:val="16"/>
              </w:rPr>
              <w:t>nh, t.phố trực thuộc TW;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Phòng TM và CN Việt Nam;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Cục Kiểm tra văn bản (Bộ Tư pháp);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Cục Hải quan các t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ỉ</w:t>
            </w:r>
            <w:r w:rsidRPr="00044762">
              <w:rPr>
                <w:rFonts w:ascii="Arial" w:eastAsia="Times New Roman" w:hAnsi="Arial" w:cs="Arial"/>
                <w:sz w:val="16"/>
              </w:rPr>
              <w:t>nh, thành phố;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Công báo;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Website Chính phủ;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Website Bộ Tài chính; Website TCHQ;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Các đơn vị thuộc Bộ Tài chính;</w:t>
            </w:r>
            <w:r w:rsidRPr="00044762">
              <w:rPr>
                <w:rFonts w:ascii="Arial" w:eastAsia="Times New Roman" w:hAnsi="Arial" w:cs="Arial"/>
                <w:sz w:val="16"/>
              </w:rPr>
              <w:br/>
              <w:t>- Các đơn vị thuộc TCHQ;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br/>
            </w:r>
            <w:r w:rsidRPr="00044762">
              <w:rPr>
                <w:rFonts w:ascii="Arial" w:eastAsia="Times New Roman" w:hAnsi="Arial" w:cs="Arial"/>
                <w:sz w:val="16"/>
              </w:rPr>
              <w:t xml:space="preserve">- Lưu: VT, 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T</w:t>
            </w:r>
            <w:r w:rsidRPr="00044762">
              <w:rPr>
                <w:rFonts w:ascii="Arial" w:eastAsia="Times New Roman" w:hAnsi="Arial" w:cs="Arial"/>
                <w:sz w:val="16"/>
              </w:rPr>
              <w:t>CHQ (</w:t>
            </w:r>
            <w:r w:rsidRPr="00044762">
              <w:rPr>
                <w:rFonts w:ascii="Arial" w:eastAsia="Times New Roman" w:hAnsi="Arial" w:cs="Arial"/>
                <w:sz w:val="16"/>
                <w:lang w:val="en-US"/>
              </w:rPr>
              <w:t>TXNK-15b).</w:t>
            </w:r>
          </w:p>
        </w:tc>
        <w:tc>
          <w:tcPr>
            <w:tcW w:w="4428" w:type="dxa"/>
            <w:shd w:val="clear" w:color="auto" w:fill="auto"/>
          </w:tcPr>
          <w:p w14:paraId="084C1180" w14:textId="77777777" w:rsidR="00DF6C74" w:rsidRPr="00044762" w:rsidRDefault="00DF6C74" w:rsidP="00044762">
            <w:pPr>
              <w:spacing w:before="12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KT. BỘ TRƯỞNG</w:t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  <w:t>THỨ TRƯỞNG</w:t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br/>
            </w:r>
            <w:proofErr w:type="spellStart"/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Vũ</w:t>
            </w:r>
            <w:proofErr w:type="spellEnd"/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Thị</w:t>
            </w:r>
            <w:proofErr w:type="spellEnd"/>
            <w:r w:rsidRPr="00044762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Mai</w:t>
            </w:r>
          </w:p>
        </w:tc>
      </w:tr>
    </w:tbl>
    <w:p w14:paraId="0B344CDA" w14:textId="77777777" w:rsidR="000E2D3A" w:rsidRPr="002B6D5A" w:rsidRDefault="000E2D3A" w:rsidP="00931E04">
      <w:pPr>
        <w:spacing w:before="120"/>
        <w:rPr>
          <w:rFonts w:ascii="Arial" w:hAnsi="Arial" w:cs="Arial"/>
          <w:sz w:val="20"/>
          <w:lang w:val="en-US"/>
        </w:rPr>
      </w:pPr>
    </w:p>
    <w:p w14:paraId="62425376" w14:textId="77777777" w:rsidR="00931E04" w:rsidRPr="002B6D5A" w:rsidRDefault="00931E04" w:rsidP="00931E04">
      <w:pPr>
        <w:spacing w:before="120"/>
        <w:rPr>
          <w:rFonts w:ascii="Arial" w:hAnsi="Arial" w:cs="Arial"/>
          <w:sz w:val="20"/>
          <w:lang w:val="en-US"/>
        </w:rPr>
      </w:pPr>
    </w:p>
    <w:p w14:paraId="2588AEE2" w14:textId="77777777" w:rsidR="00931E04" w:rsidRPr="002B6D5A" w:rsidRDefault="00931E04" w:rsidP="00931E04">
      <w:pPr>
        <w:spacing w:before="120"/>
        <w:rPr>
          <w:rFonts w:ascii="Arial" w:hAnsi="Arial" w:cs="Arial"/>
          <w:sz w:val="20"/>
          <w:lang w:val="en-US"/>
        </w:rPr>
      </w:pPr>
    </w:p>
    <w:sectPr w:rsidR="00931E04" w:rsidRPr="002B6D5A" w:rsidSect="002B6D5A">
      <w:pgSz w:w="11906" w:h="16838"/>
      <w:pgMar w:top="567" w:right="1134" w:bottom="567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D717F" w14:textId="77777777" w:rsidR="001A11D9" w:rsidRDefault="001A11D9">
      <w:r>
        <w:separator/>
      </w:r>
    </w:p>
  </w:endnote>
  <w:endnote w:type="continuationSeparator" w:id="0">
    <w:p w14:paraId="6EA200A6" w14:textId="77777777" w:rsidR="001A11D9" w:rsidRDefault="001A1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D339" w14:textId="77777777" w:rsidR="001A11D9" w:rsidRDefault="001A11D9">
      <w:r>
        <w:separator/>
      </w:r>
    </w:p>
  </w:footnote>
  <w:footnote w:type="continuationSeparator" w:id="0">
    <w:p w14:paraId="4E762CF4" w14:textId="77777777" w:rsidR="001A11D9" w:rsidRDefault="001A11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1"/>
  <w:displayHorizont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6D"/>
    <w:rsid w:val="00044762"/>
    <w:rsid w:val="000E2D3A"/>
    <w:rsid w:val="001A11D9"/>
    <w:rsid w:val="002B6D5A"/>
    <w:rsid w:val="00931E04"/>
    <w:rsid w:val="009A0A6D"/>
    <w:rsid w:val="00DF6C74"/>
    <w:rsid w:val="00F35D3E"/>
    <w:rsid w:val="00F5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ECBBEA"/>
  <w15:chartTrackingRefBased/>
  <w15:docId w15:val="{C9005A8D-340B-4E44-9B95-66CF439A6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66CC"/>
      <w:u w:val="single"/>
    </w:rPr>
  </w:style>
  <w:style w:type="character" w:customStyle="1" w:styleId="Bodytext2">
    <w:name w:val="Body text (2)_"/>
    <w:link w:val="Bodytext20"/>
    <w:rPr>
      <w:rFonts w:ascii="Times New Roman" w:hAnsi="Times New Roman" w:cs="Times New Roman"/>
      <w:b/>
      <w:bCs/>
      <w:spacing w:val="0"/>
      <w:sz w:val="46"/>
      <w:szCs w:val="46"/>
      <w:u w:val="none"/>
    </w:rPr>
  </w:style>
  <w:style w:type="character" w:customStyle="1" w:styleId="Bodytext3">
    <w:name w:val="Body text (3)_"/>
    <w:link w:val="Bodytext30"/>
    <w:rPr>
      <w:rFonts w:ascii="Times New Roman" w:hAnsi="Times New Roman" w:cs="Times New Roman"/>
      <w:b/>
      <w:bCs/>
      <w:i/>
      <w:iCs/>
      <w:spacing w:val="-10"/>
      <w:sz w:val="48"/>
      <w:szCs w:val="48"/>
      <w:u w:val="none"/>
    </w:rPr>
  </w:style>
  <w:style w:type="character" w:customStyle="1" w:styleId="Bodytext329pt">
    <w:name w:val="Body text (3) + 29 pt"/>
    <w:rPr>
      <w:rFonts w:ascii="Times New Roman" w:hAnsi="Times New Roman" w:cs="Times New Roman"/>
      <w:b/>
      <w:bCs/>
      <w:i/>
      <w:iCs/>
      <w:spacing w:val="-10"/>
      <w:sz w:val="58"/>
      <w:szCs w:val="58"/>
      <w:u w:val="none"/>
    </w:rPr>
  </w:style>
  <w:style w:type="character" w:customStyle="1" w:styleId="Bodytext329pt1">
    <w:name w:val="Body text (3) + 29 pt1"/>
    <w:aliases w:val="Not Bold,Not Italic,Spacing 0 pt"/>
    <w:rPr>
      <w:rFonts w:ascii="Times New Roman" w:hAnsi="Times New Roman" w:cs="Times New Roman"/>
      <w:b/>
      <w:bCs/>
      <w:i/>
      <w:iCs/>
      <w:spacing w:val="0"/>
      <w:sz w:val="58"/>
      <w:szCs w:val="58"/>
      <w:u w:val="none"/>
    </w:rPr>
  </w:style>
  <w:style w:type="character" w:customStyle="1" w:styleId="Bodytext323pt">
    <w:name w:val="Body text (3) + 23 pt"/>
    <w:aliases w:val="Not Italic2,Spacing 0 pt2"/>
    <w:rPr>
      <w:rFonts w:ascii="Times New Roman" w:hAnsi="Times New Roman" w:cs="Times New Roman"/>
      <w:b/>
      <w:bCs/>
      <w:i/>
      <w:iCs/>
      <w:spacing w:val="0"/>
      <w:sz w:val="46"/>
      <w:szCs w:val="46"/>
      <w:u w:val="none"/>
    </w:rPr>
  </w:style>
  <w:style w:type="character" w:customStyle="1" w:styleId="Bodytext323pt1">
    <w:name w:val="Body text (3) + 23 pt1"/>
    <w:aliases w:val="Not Bold2,Not Italic1"/>
    <w:rPr>
      <w:rFonts w:ascii="Times New Roman" w:hAnsi="Times New Roman" w:cs="Times New Roman"/>
      <w:b/>
      <w:bCs/>
      <w:i/>
      <w:iCs/>
      <w:spacing w:val="-10"/>
      <w:sz w:val="46"/>
      <w:szCs w:val="46"/>
      <w:u w:val="none"/>
    </w:rPr>
  </w:style>
  <w:style w:type="character" w:customStyle="1" w:styleId="Bodytext224pt">
    <w:name w:val="Body text (2) + 24 pt"/>
    <w:aliases w:val="Italic,Spacing 0 pt1"/>
    <w:rPr>
      <w:rFonts w:ascii="Times New Roman" w:hAnsi="Times New Roman" w:cs="Times New Roman"/>
      <w:b/>
      <w:bCs/>
      <w:i/>
      <w:iCs/>
      <w:spacing w:val="-10"/>
      <w:sz w:val="48"/>
      <w:szCs w:val="48"/>
      <w:u w:val="none"/>
    </w:rPr>
  </w:style>
  <w:style w:type="character" w:customStyle="1" w:styleId="Bodytext4">
    <w:name w:val="Body text (4)_"/>
    <w:link w:val="Bodytext40"/>
    <w:rPr>
      <w:rFonts w:ascii="Times New Roman" w:hAnsi="Times New Roman" w:cs="Times New Roman"/>
      <w:sz w:val="11"/>
      <w:szCs w:val="11"/>
      <w:u w:val="none"/>
    </w:rPr>
  </w:style>
  <w:style w:type="character" w:customStyle="1" w:styleId="Bodytext222pt">
    <w:name w:val="Body text (2) + 22 pt"/>
    <w:rPr>
      <w:rFonts w:ascii="Times New Roman" w:hAnsi="Times New Roman" w:cs="Times New Roman"/>
      <w:b/>
      <w:bCs/>
      <w:spacing w:val="0"/>
      <w:sz w:val="44"/>
      <w:szCs w:val="44"/>
      <w:u w:val="none"/>
    </w:rPr>
  </w:style>
  <w:style w:type="character" w:customStyle="1" w:styleId="Bodytext2Candara">
    <w:name w:val="Body text (2) + Candara"/>
    <w:aliases w:val="35 pt,Not Bold1"/>
    <w:rPr>
      <w:rFonts w:ascii="Candara" w:hAnsi="Candara" w:cs="Candara"/>
      <w:b/>
      <w:bCs/>
      <w:spacing w:val="0"/>
      <w:sz w:val="70"/>
      <w:szCs w:val="70"/>
      <w:u w:val="none"/>
    </w:rPr>
  </w:style>
  <w:style w:type="character" w:customStyle="1" w:styleId="Bodytext5">
    <w:name w:val="Body text (5)_"/>
    <w:link w:val="Bodytext50"/>
    <w:rPr>
      <w:rFonts w:ascii="Times New Roman" w:hAnsi="Times New Roman" w:cs="Times New Roman"/>
      <w:b/>
      <w:bCs/>
      <w:sz w:val="44"/>
      <w:szCs w:val="44"/>
      <w:u w:val="none"/>
    </w:rPr>
  </w:style>
  <w:style w:type="character" w:customStyle="1" w:styleId="Bodytext523pt">
    <w:name w:val="Body text (5) + 23 pt"/>
    <w:rPr>
      <w:rFonts w:ascii="Times New Roman" w:hAnsi="Times New Roman" w:cs="Times New Roman"/>
      <w:b/>
      <w:bCs/>
      <w:spacing w:val="0"/>
      <w:sz w:val="46"/>
      <w:szCs w:val="46"/>
      <w:u w:val="none"/>
    </w:rPr>
  </w:style>
  <w:style w:type="character" w:customStyle="1" w:styleId="Bodytext6">
    <w:name w:val="Body text (6)_"/>
    <w:link w:val="Bodytext60"/>
    <w:rPr>
      <w:rFonts w:ascii="Times New Roman" w:hAnsi="Times New Roman" w:cs="Times New Roman"/>
      <w:b/>
      <w:bCs/>
      <w:sz w:val="36"/>
      <w:szCs w:val="36"/>
      <w:u w:val="none"/>
    </w:rPr>
  </w:style>
  <w:style w:type="character" w:customStyle="1" w:styleId="Bodytext6NotBold">
    <w:name w:val="Body text (6) + Not Bold"/>
    <w:aliases w:val="Italic1"/>
    <w:rPr>
      <w:rFonts w:ascii="Times New Roman" w:hAnsi="Times New Roman" w:cs="Times New Roman"/>
      <w:b/>
      <w:bCs/>
      <w:i/>
      <w:iCs/>
      <w:sz w:val="36"/>
      <w:szCs w:val="36"/>
      <w:u w:val="none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499" w:lineRule="exact"/>
      <w:ind w:hanging="360"/>
      <w:jc w:val="both"/>
    </w:pPr>
    <w:rPr>
      <w:rFonts w:ascii="Times New Roman" w:hAnsi="Times New Roman" w:cs="Times New Roman"/>
      <w:b/>
      <w:bCs/>
      <w:color w:val="auto"/>
      <w:sz w:val="46"/>
      <w:szCs w:val="46"/>
      <w:lang w:eastAsia="en-US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pacing w:val="-10"/>
      <w:sz w:val="48"/>
      <w:szCs w:val="48"/>
      <w:lang w:eastAsia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1"/>
      <w:szCs w:val="11"/>
      <w:lang w:eastAsia="en-US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44"/>
      <w:szCs w:val="44"/>
      <w:lang w:eastAsia="en-US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36"/>
      <w:szCs w:val="36"/>
      <w:lang w:eastAsia="en-US"/>
    </w:rPr>
  </w:style>
  <w:style w:type="paragraph" w:styleId="Header">
    <w:name w:val="header"/>
    <w:basedOn w:val="Normal"/>
    <w:rsid w:val="000E2D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E2D3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F6C7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DF6C74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TÀI CHÍNH CỘNG HOÀ XẴ HỘI CHỦ NGHĨA VIỆT NAM</vt:lpstr>
    </vt:vector>
  </TitlesOfParts>
  <Company>HOME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TÀI CHÍNH CỘNG HOÀ XẴ HỘI CHỦ NGHĨA VIỆT NAM</dc:title>
  <dc:subject/>
  <dc:creator>User</dc:creator>
  <cp:keywords/>
  <dc:description/>
  <cp:lastModifiedBy>VinasecoPc</cp:lastModifiedBy>
  <cp:revision>2</cp:revision>
  <dcterms:created xsi:type="dcterms:W3CDTF">2022-07-15T01:48:00Z</dcterms:created>
  <dcterms:modified xsi:type="dcterms:W3CDTF">2022-07-15T01:48:00Z</dcterms:modified>
</cp:coreProperties>
</file>