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020"/>
      </w:tblGrid>
      <w:tr w:rsidR="000D66F7" w:rsidRPr="000D66F7" w14:paraId="50AE62E7" w14:textId="77777777" w:rsidTr="00ED0FEF">
        <w:trPr>
          <w:tblCellSpacing w:w="0" w:type="dxa"/>
        </w:trPr>
        <w:tc>
          <w:tcPr>
            <w:tcW w:w="2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A5A1" w14:textId="77777777" w:rsidR="00ED0FEF" w:rsidRPr="000D66F7" w:rsidRDefault="00ED0FEF" w:rsidP="00ED0FEF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CHÍNH PHỦ</w:t>
            </w:r>
          </w:p>
        </w:tc>
        <w:tc>
          <w:tcPr>
            <w:tcW w:w="6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FB23" w14:textId="77777777" w:rsidR="00ED0FEF" w:rsidRPr="000D66F7" w:rsidRDefault="00ED0FEF" w:rsidP="00ED0FEF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</w:p>
        </w:tc>
      </w:tr>
      <w:tr w:rsidR="000D66F7" w:rsidRPr="000D66F7" w14:paraId="6753EB62" w14:textId="77777777" w:rsidTr="00ED0FEF">
        <w:trPr>
          <w:tblCellSpacing w:w="0" w:type="dxa"/>
        </w:trPr>
        <w:tc>
          <w:tcPr>
            <w:tcW w:w="2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150E" w14:textId="77777777" w:rsidR="00ED0FEF" w:rsidRPr="000D66F7" w:rsidRDefault="00ED0FEF" w:rsidP="00ED0F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0D66F7">
              <w:rPr>
                <w:rFonts w:ascii="Arial" w:eastAsia="Times New Roman" w:hAnsi="Arial" w:cs="Arial"/>
                <w:sz w:val="20"/>
                <w:szCs w:val="20"/>
              </w:rPr>
              <w:t>Số</w:t>
            </w:r>
            <w:proofErr w:type="spellEnd"/>
            <w:r w:rsidRPr="000D66F7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  <w:proofErr w:type="gramEnd"/>
            <w:r w:rsidRPr="000D66F7">
              <w:rPr>
                <w:rFonts w:ascii="Arial" w:eastAsia="Times New Roman" w:hAnsi="Arial" w:cs="Arial"/>
                <w:sz w:val="20"/>
                <w:szCs w:val="20"/>
              </w:rPr>
              <w:t xml:space="preserve"> 121/2006/NĐ-CP</w:t>
            </w:r>
          </w:p>
        </w:tc>
        <w:tc>
          <w:tcPr>
            <w:tcW w:w="6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8B75" w14:textId="77777777" w:rsidR="00ED0FEF" w:rsidRPr="000D66F7" w:rsidRDefault="00ED0FEF" w:rsidP="00ED0FE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Hà</w:t>
            </w:r>
            <w:proofErr w:type="spellEnd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Nội</w:t>
            </w:r>
            <w:proofErr w:type="spellEnd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23 </w:t>
            </w:r>
            <w:proofErr w:type="spellStart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10 </w:t>
            </w:r>
            <w:proofErr w:type="spellStart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0D66F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2006</w:t>
            </w:r>
          </w:p>
        </w:tc>
      </w:tr>
    </w:tbl>
    <w:p w14:paraId="1979ED50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7591E050" w14:textId="77777777" w:rsidR="00ED0FEF" w:rsidRPr="000D66F7" w:rsidRDefault="00ED0FEF" w:rsidP="00ED0F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0" w:name="loai_1"/>
      <w:r w:rsidRPr="000D66F7">
        <w:rPr>
          <w:rFonts w:ascii="Arial" w:eastAsia="Times New Roman" w:hAnsi="Arial" w:cs="Arial"/>
          <w:b/>
          <w:bCs/>
          <w:sz w:val="18"/>
          <w:szCs w:val="18"/>
        </w:rPr>
        <w:t>NGHỊ ĐỊNH</w:t>
      </w:r>
      <w:bookmarkEnd w:id="0"/>
    </w:p>
    <w:p w14:paraId="78575D7D" w14:textId="385BD00A" w:rsidR="00ED0FEF" w:rsidRPr="000D66F7" w:rsidRDefault="00ED0FEF" w:rsidP="00ED0F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1" w:name="loai_1_name"/>
      <w:r w:rsidRPr="000D66F7">
        <w:rPr>
          <w:rFonts w:ascii="Arial" w:eastAsia="Times New Roman" w:hAnsi="Arial" w:cs="Arial"/>
          <w:sz w:val="20"/>
          <w:szCs w:val="20"/>
        </w:rPr>
        <w:t>SỬA ĐỔI, BỔ SUNG MỘT SỐ ĐIỀU CỦA NGHỊ ĐỊNH SỐ </w:t>
      </w:r>
      <w:bookmarkEnd w:id="1"/>
      <w:r w:rsidRPr="000D66F7">
        <w:rPr>
          <w:rFonts w:ascii="Arial" w:eastAsia="Times New Roman" w:hAnsi="Arial" w:cs="Arial"/>
          <w:sz w:val="18"/>
          <w:szCs w:val="18"/>
        </w:rPr>
        <w:t>116/2003/NĐ-CP NGÀY 10 THÁNG 10 NĂM 2003 CỦA CHÍNH PHỦ VỀ VIỆC TUYỂN DỤNG, SỬ DỤNG VÀ QUẢN LÝ CÁN BỘ, CÔNG CHỨC TRONG CÁC ĐƠN VỊ SỰ NGHIỆP CỦA NHÀ N</w:t>
      </w:r>
      <w:r w:rsidRPr="000D66F7">
        <w:rPr>
          <w:rFonts w:ascii="Arial" w:eastAsia="Times New Roman" w:hAnsi="Arial" w:cs="Arial"/>
          <w:sz w:val="18"/>
          <w:szCs w:val="18"/>
        </w:rPr>
        <w:softHyphen/>
        <w:t>ƯỚC</w:t>
      </w:r>
    </w:p>
    <w:p w14:paraId="4AAA6B23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b/>
          <w:bCs/>
          <w:sz w:val="18"/>
          <w:szCs w:val="18"/>
        </w:rPr>
        <w:t>CHÍNH PHỦ</w:t>
      </w:r>
    </w:p>
    <w:p w14:paraId="06DCF8C2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Căn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cứ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phủ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25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12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2001;</w:t>
      </w:r>
      <w:r w:rsidRPr="000D66F7">
        <w:rPr>
          <w:rFonts w:ascii="Arial" w:eastAsia="Times New Roman" w:hAnsi="Arial" w:cs="Arial"/>
          <w:i/>
          <w:iCs/>
          <w:sz w:val="20"/>
          <w:szCs w:val="20"/>
        </w:rPr>
        <w:br/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Căn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cứ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lệnh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Cán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26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02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1998;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lệnh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lệnh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Cán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28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4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2000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lệnh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lệnh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Cán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29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4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2003;</w:t>
      </w:r>
      <w:r w:rsidRPr="000D66F7">
        <w:rPr>
          <w:rFonts w:ascii="Arial" w:eastAsia="Times New Roman" w:hAnsi="Arial" w:cs="Arial"/>
          <w:i/>
          <w:iCs/>
          <w:sz w:val="20"/>
          <w:szCs w:val="20"/>
        </w:rPr>
        <w:br/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tr</w:t>
      </w:r>
      <w:r w:rsidRPr="000D66F7">
        <w:rPr>
          <w:rFonts w:ascii="Arial" w:eastAsia="Times New Roman" w:hAnsi="Arial" w:cs="Arial"/>
          <w:i/>
          <w:iCs/>
          <w:sz w:val="20"/>
          <w:szCs w:val="20"/>
        </w:rPr>
        <w:softHyphen/>
        <w:t>ưởng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i/>
          <w:iCs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i/>
          <w:iCs/>
          <w:sz w:val="20"/>
          <w:szCs w:val="20"/>
        </w:rPr>
        <w:t>,</w:t>
      </w:r>
    </w:p>
    <w:p w14:paraId="663FD230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b/>
          <w:bCs/>
          <w:sz w:val="18"/>
          <w:szCs w:val="18"/>
        </w:rPr>
        <w:t xml:space="preserve">NGHỊ </w:t>
      </w:r>
      <w:proofErr w:type="gramStart"/>
      <w:r w:rsidRPr="000D66F7">
        <w:rPr>
          <w:rFonts w:ascii="Arial" w:eastAsia="Times New Roman" w:hAnsi="Arial" w:cs="Arial"/>
          <w:b/>
          <w:bCs/>
          <w:sz w:val="18"/>
          <w:szCs w:val="18"/>
        </w:rPr>
        <w:t>ĐỊNH :</w:t>
      </w:r>
      <w:proofErr w:type="gramEnd"/>
    </w:p>
    <w:p w14:paraId="396F5F9E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" w:name="dieu_1"/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1.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sung</w:t>
      </w:r>
      <w:bookmarkEnd w:id="2"/>
    </w:p>
    <w:p w14:paraId="00B4049F" w14:textId="4A8E6605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 116/2003/NĐ-CP 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2003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gọi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tắt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softHyphen/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:</w:t>
      </w:r>
    </w:p>
    <w:p w14:paraId="15220189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" w:name="dieu_1_1"/>
      <w:r w:rsidRPr="000D66F7">
        <w:rPr>
          <w:rFonts w:ascii="Arial" w:eastAsia="Times New Roman" w:hAnsi="Arial" w:cs="Arial"/>
          <w:b/>
          <w:bCs/>
          <w:spacing w:val="-10"/>
          <w:sz w:val="20"/>
          <w:szCs w:val="20"/>
        </w:rPr>
        <w:t>1.</w:t>
      </w:r>
      <w:bookmarkEnd w:id="3"/>
      <w:r w:rsidRPr="000D66F7">
        <w:rPr>
          <w:rFonts w:ascii="Arial" w:eastAsia="Times New Roman" w:hAnsi="Arial" w:cs="Arial"/>
          <w:spacing w:val="-10"/>
          <w:sz w:val="20"/>
          <w:szCs w:val="20"/>
        </w:rPr>
        <w:t> </w:t>
      </w:r>
      <w:bookmarkStart w:id="4" w:name="dieu_1_1_name"/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1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3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7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10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pacing w:val="-10"/>
          <w:sz w:val="20"/>
          <w:szCs w:val="20"/>
        </w:rPr>
        <w:t xml:space="preserve"> 116/2003/NĐ-CP:</w:t>
      </w:r>
      <w:bookmarkEnd w:id="4"/>
    </w:p>
    <w:p w14:paraId="54A199F8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thiểu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nguyện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phục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sâu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đảo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vũ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lao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binh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softHyphen/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binh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liệt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sĩ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binh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bệnh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binh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khởi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nghĩa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19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8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1945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);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đẻ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chiến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nhiễm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học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ợng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vũ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con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lao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'';</w:t>
      </w:r>
    </w:p>
    <w:p w14:paraId="569CA316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…</w:t>
      </w:r>
    </w:p>
    <w:p w14:paraId="52295902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''3.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học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sĩ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đúng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đào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phù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tốt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giỏi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xuất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sắc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bậc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đào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phù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hoàn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nghĩa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xung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trẻ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nguyện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phục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miền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núi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hoàn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tục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''.</w:t>
      </w:r>
    </w:p>
    <w:p w14:paraId="17488FA6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5" w:name="dieu_2_1"/>
      <w:r w:rsidRPr="000D66F7">
        <w:rPr>
          <w:rFonts w:ascii="Arial" w:eastAsia="Times New Roman" w:hAnsi="Arial" w:cs="Arial"/>
          <w:b/>
          <w:bCs/>
          <w:spacing w:val="-10"/>
          <w:sz w:val="20"/>
          <w:szCs w:val="20"/>
        </w:rPr>
        <w:t>2.</w:t>
      </w:r>
      <w:bookmarkEnd w:id="5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6" w:name="dieu_2_1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6"/>
    </w:p>
    <w:p w14:paraId="55BB98B0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b/>
          <w:bCs/>
          <w:sz w:val="20"/>
          <w:szCs w:val="20"/>
        </w:rPr>
        <w:t>"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10.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dụng</w:t>
      </w:r>
      <w:proofErr w:type="spellEnd"/>
    </w:p>
    <w:p w14:paraId="18DD796C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gọi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0387E3C7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07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:</w:t>
      </w:r>
    </w:p>
    <w:p w14:paraId="0F39FDF9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a)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3ED0E12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lãnh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phận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kiêm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).</w:t>
      </w:r>
    </w:p>
    <w:p w14:paraId="6E5B12CC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Ban ra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0D66F7">
        <w:rPr>
          <w:rFonts w:ascii="Arial" w:eastAsia="Times New Roman" w:hAnsi="Arial" w:cs="Arial"/>
          <w:sz w:val="20"/>
          <w:szCs w:val="20"/>
        </w:rPr>
        <w:t>Ban</w:t>
      </w:r>
      <w:proofErr w:type="gram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coi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36ED16B1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4.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408C646F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lastRenderedPageBreak/>
        <w:t xml:space="preserve">5.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07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''.</w:t>
      </w:r>
    </w:p>
    <w:p w14:paraId="64F5D1E2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" w:name="dieu_3_1"/>
      <w:r w:rsidRPr="000D66F7">
        <w:rPr>
          <w:rFonts w:ascii="Arial" w:eastAsia="Times New Roman" w:hAnsi="Arial" w:cs="Arial"/>
          <w:b/>
          <w:bCs/>
          <w:sz w:val="20"/>
          <w:szCs w:val="20"/>
        </w:rPr>
        <w:t>3.</w:t>
      </w:r>
      <w:bookmarkEnd w:id="7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8" w:name="dieu_3_1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13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8"/>
    </w:p>
    <w:p w14:paraId="4581C9F5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13.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dung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cách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xác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trúng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tuyển</w:t>
      </w:r>
      <w:proofErr w:type="spellEnd"/>
    </w:p>
    <w:p w14:paraId="1F2D8357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bao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:</w:t>
      </w:r>
    </w:p>
    <w:p w14:paraId="30145116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a)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Yêu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1677807A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học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018886BD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c)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ượng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ưu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7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6DA5BFE6" w14:textId="77777777" w:rsidR="00ED0FEF" w:rsidRPr="000D66F7" w:rsidRDefault="00ED0FEF" w:rsidP="000D66F7">
      <w:bookmarkStart w:id="9" w:name="cumtu_2"/>
      <w:r w:rsidRPr="000D66F7">
        <w:t xml:space="preserve">2. </w:t>
      </w:r>
      <w:proofErr w:type="spellStart"/>
      <w:r w:rsidRPr="000D66F7">
        <w:t>Cách</w:t>
      </w:r>
      <w:proofErr w:type="spellEnd"/>
      <w:r w:rsidRPr="000D66F7">
        <w:t xml:space="preserve"> </w:t>
      </w:r>
      <w:proofErr w:type="spellStart"/>
      <w:r w:rsidRPr="000D66F7">
        <w:t>xác</w:t>
      </w:r>
      <w:proofErr w:type="spellEnd"/>
      <w:r w:rsidRPr="000D66F7">
        <w:t xml:space="preserve"> </w:t>
      </w:r>
      <w:proofErr w:type="spellStart"/>
      <w:r w:rsidRPr="000D66F7">
        <w:t>định</w:t>
      </w:r>
      <w:proofErr w:type="spellEnd"/>
      <w:r w:rsidRPr="000D66F7">
        <w:t xml:space="preserve"> </w:t>
      </w:r>
      <w:proofErr w:type="spellStart"/>
      <w:r w:rsidRPr="000D66F7">
        <w:t>người</w:t>
      </w:r>
      <w:proofErr w:type="spellEnd"/>
      <w:r w:rsidRPr="000D66F7">
        <w:t xml:space="preserve"> </w:t>
      </w:r>
      <w:proofErr w:type="spellStart"/>
      <w:r w:rsidRPr="000D66F7">
        <w:t>trúng</w:t>
      </w:r>
      <w:proofErr w:type="spellEnd"/>
      <w:r w:rsidRPr="000D66F7">
        <w:t xml:space="preserve"> </w:t>
      </w:r>
      <w:proofErr w:type="spellStart"/>
      <w:r w:rsidRPr="000D66F7">
        <w:t>tuyển</w:t>
      </w:r>
      <w:proofErr w:type="spellEnd"/>
      <w:r w:rsidRPr="000D66F7">
        <w:t>:</w:t>
      </w:r>
      <w:bookmarkEnd w:id="9"/>
    </w:p>
    <w:p w14:paraId="0ABFC016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a)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trúng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yêu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học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cộng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r w:rsidRPr="000D66F7">
        <w:rPr>
          <w:rFonts w:ascii="Arial" w:eastAsia="Times New Roman" w:hAnsi="Arial" w:cs="Arial"/>
          <w:sz w:val="20"/>
          <w:szCs w:val="20"/>
        </w:rPr>
        <w:softHyphen/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ưu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7938CFCD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phỏng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vấn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lựa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chọn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trúng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''.</w:t>
      </w:r>
    </w:p>
    <w:p w14:paraId="1388D413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" w:name="dieu_4"/>
      <w:r w:rsidRPr="000D66F7">
        <w:rPr>
          <w:rFonts w:ascii="Arial" w:eastAsia="Times New Roman" w:hAnsi="Arial" w:cs="Arial"/>
          <w:b/>
          <w:bCs/>
          <w:sz w:val="20"/>
          <w:szCs w:val="20"/>
        </w:rPr>
        <w:t>4.</w:t>
      </w:r>
      <w:bookmarkEnd w:id="10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11" w:name="dieu_4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a, b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c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11"/>
    </w:p>
    <w:p w14:paraId="033CA643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"a)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áp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48C30526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áp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yêu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7CA94E1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c)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áp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</w:t>
      </w:r>
      <w:r w:rsidRPr="000D66F7">
        <w:rPr>
          <w:rFonts w:ascii="Arial" w:eastAsia="Times New Roman" w:hAnsi="Arial" w:cs="Arial"/>
          <w:spacing w:val="-4"/>
          <w:sz w:val="20"/>
          <w:szCs w:val="20"/>
        </w:rPr>
        <w:softHyphen/>
        <w:t>ường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đã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hai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lần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tiếp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ký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điểm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1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".</w:t>
      </w:r>
    </w:p>
    <w:p w14:paraId="062667B6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" w:name="dieu_5"/>
      <w:r w:rsidRPr="000D66F7">
        <w:rPr>
          <w:rFonts w:ascii="Arial" w:eastAsia="Times New Roman" w:hAnsi="Arial" w:cs="Arial"/>
          <w:b/>
          <w:bCs/>
          <w:sz w:val="20"/>
          <w:szCs w:val="20"/>
        </w:rPr>
        <w:t>5.</w:t>
      </w:r>
      <w:bookmarkEnd w:id="12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13" w:name="dieu_5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3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21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13"/>
    </w:p>
    <w:p w14:paraId="0A655503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"3.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phúc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softHyphen/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bậc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đang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".</w:t>
      </w:r>
    </w:p>
    <w:p w14:paraId="6C7B07CA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" w:name="dieu_6"/>
      <w:r w:rsidRPr="000D66F7">
        <w:rPr>
          <w:rFonts w:ascii="Arial" w:eastAsia="Times New Roman" w:hAnsi="Arial" w:cs="Arial"/>
          <w:b/>
          <w:bCs/>
          <w:sz w:val="20"/>
          <w:szCs w:val="20"/>
        </w:rPr>
        <w:t>6.</w:t>
      </w:r>
      <w:bookmarkEnd w:id="14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15" w:name="dieu_6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4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26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15"/>
    </w:p>
    <w:p w14:paraId="46E6B6F6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"4.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07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:</w:t>
      </w:r>
    </w:p>
    <w:p w14:paraId="1C05C879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a)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24E879EA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lãnh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phận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danh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cùng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kiêm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);</w:t>
      </w:r>
    </w:p>
    <w:p w14:paraId="0599C314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c)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kiểm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kiểm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07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do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trực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tiếp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''</w:t>
      </w:r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76DD8B29" w14:textId="77777777" w:rsidR="00ED0FEF" w:rsidRPr="000D66F7" w:rsidRDefault="00ED0FEF" w:rsidP="000D66F7">
      <w:bookmarkStart w:id="16" w:name="dieu_7"/>
      <w:r w:rsidRPr="000D66F7">
        <w:t xml:space="preserve">7. </w:t>
      </w:r>
      <w:proofErr w:type="spellStart"/>
      <w:r w:rsidRPr="000D66F7">
        <w:t>Bổ</w:t>
      </w:r>
      <w:proofErr w:type="spellEnd"/>
      <w:r w:rsidRPr="000D66F7">
        <w:t xml:space="preserve"> sung </w:t>
      </w:r>
      <w:proofErr w:type="spellStart"/>
      <w:r w:rsidRPr="000D66F7">
        <w:t>thêm</w:t>
      </w:r>
      <w:proofErr w:type="spellEnd"/>
      <w:r w:rsidRPr="000D66F7">
        <w:t xml:space="preserve"> </w:t>
      </w:r>
      <w:proofErr w:type="spellStart"/>
      <w:r w:rsidRPr="000D66F7">
        <w:t>Điều</w:t>
      </w:r>
      <w:proofErr w:type="spellEnd"/>
      <w:r w:rsidRPr="000D66F7">
        <w:t xml:space="preserve"> 26a </w:t>
      </w:r>
      <w:proofErr w:type="spellStart"/>
      <w:r w:rsidRPr="000D66F7">
        <w:t>vào</w:t>
      </w:r>
      <w:proofErr w:type="spellEnd"/>
      <w:r w:rsidRPr="000D66F7">
        <w:t xml:space="preserve"> </w:t>
      </w:r>
      <w:proofErr w:type="spellStart"/>
      <w:r w:rsidRPr="000D66F7">
        <w:t>Nghị</w:t>
      </w:r>
      <w:proofErr w:type="spellEnd"/>
      <w:r w:rsidRPr="000D66F7">
        <w:t xml:space="preserve"> </w:t>
      </w:r>
      <w:proofErr w:type="spellStart"/>
      <w:r w:rsidRPr="000D66F7">
        <w:t>định</w:t>
      </w:r>
      <w:proofErr w:type="spellEnd"/>
      <w:r w:rsidRPr="000D66F7">
        <w:t xml:space="preserve"> </w:t>
      </w:r>
      <w:proofErr w:type="spellStart"/>
      <w:r w:rsidRPr="000D66F7">
        <w:t>số</w:t>
      </w:r>
      <w:proofErr w:type="spellEnd"/>
      <w:r w:rsidRPr="000D66F7">
        <w:t xml:space="preserve"> 116/2003/NĐ-CP:</w:t>
      </w:r>
      <w:bookmarkEnd w:id="16"/>
    </w:p>
    <w:p w14:paraId="2C30AD3D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26a.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chức</w:t>
      </w:r>
      <w:proofErr w:type="spellEnd"/>
    </w:p>
    <w:p w14:paraId="6272D50D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C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1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4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cử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tạo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đã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bằng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tốt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đại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học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đẳng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trung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bố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trí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trí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phù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trình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tạo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ứng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trình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tạo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.</w:t>
      </w:r>
    </w:p>
    <w:p w14:paraId="6A643008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".</w:t>
      </w:r>
    </w:p>
    <w:p w14:paraId="20939AB8" w14:textId="77777777" w:rsidR="00ED0FEF" w:rsidRPr="000D66F7" w:rsidRDefault="00ED0FEF" w:rsidP="000D66F7">
      <w:bookmarkStart w:id="17" w:name="cumtu_8"/>
      <w:bookmarkStart w:id="18" w:name="_GoBack"/>
      <w:r w:rsidRPr="000D66F7">
        <w:lastRenderedPageBreak/>
        <w:t xml:space="preserve">8. </w:t>
      </w:r>
      <w:proofErr w:type="spellStart"/>
      <w:r w:rsidRPr="000D66F7">
        <w:t>Sửa</w:t>
      </w:r>
      <w:proofErr w:type="spellEnd"/>
      <w:r w:rsidRPr="000D66F7">
        <w:t xml:space="preserve"> </w:t>
      </w:r>
      <w:proofErr w:type="spellStart"/>
      <w:r w:rsidRPr="000D66F7">
        <w:t>đổi</w:t>
      </w:r>
      <w:proofErr w:type="spellEnd"/>
      <w:r w:rsidRPr="000D66F7">
        <w:t xml:space="preserve">, </w:t>
      </w:r>
      <w:proofErr w:type="spellStart"/>
      <w:r w:rsidRPr="000D66F7">
        <w:t>bổ</w:t>
      </w:r>
      <w:proofErr w:type="spellEnd"/>
      <w:r w:rsidRPr="000D66F7">
        <w:t xml:space="preserve"> sung </w:t>
      </w:r>
      <w:proofErr w:type="spellStart"/>
      <w:r w:rsidRPr="000D66F7">
        <w:t>khoản</w:t>
      </w:r>
      <w:proofErr w:type="spellEnd"/>
      <w:r w:rsidRPr="000D66F7">
        <w:t xml:space="preserve"> 2 </w:t>
      </w:r>
      <w:proofErr w:type="spellStart"/>
      <w:r w:rsidRPr="000D66F7">
        <w:t>Điều</w:t>
      </w:r>
      <w:proofErr w:type="spellEnd"/>
      <w:r w:rsidRPr="000D66F7">
        <w:t xml:space="preserve"> 29 </w:t>
      </w:r>
      <w:proofErr w:type="spellStart"/>
      <w:r w:rsidRPr="000D66F7">
        <w:t>Nghị</w:t>
      </w:r>
      <w:proofErr w:type="spellEnd"/>
      <w:r w:rsidRPr="000D66F7">
        <w:t xml:space="preserve"> </w:t>
      </w:r>
      <w:proofErr w:type="spellStart"/>
      <w:r w:rsidRPr="000D66F7">
        <w:t>định</w:t>
      </w:r>
      <w:proofErr w:type="spellEnd"/>
      <w:r w:rsidRPr="000D66F7">
        <w:t xml:space="preserve"> </w:t>
      </w:r>
      <w:proofErr w:type="spellStart"/>
      <w:r w:rsidRPr="000D66F7">
        <w:t>số</w:t>
      </w:r>
      <w:proofErr w:type="spellEnd"/>
      <w:r w:rsidRPr="000D66F7">
        <w:t xml:space="preserve"> 116/2003/NĐ-CP:</w:t>
      </w:r>
      <w:bookmarkEnd w:id="17"/>
    </w:p>
    <w:bookmarkEnd w:id="18"/>
    <w:p w14:paraId="59A34954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tham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hệ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chênh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lệch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bậc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bậc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đảm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chịu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".</w:t>
      </w:r>
    </w:p>
    <w:p w14:paraId="6840F61A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" w:name="dieu_9"/>
      <w:r w:rsidRPr="000D66F7">
        <w:rPr>
          <w:rFonts w:ascii="Arial" w:eastAsia="Times New Roman" w:hAnsi="Arial" w:cs="Arial"/>
          <w:b/>
          <w:bCs/>
          <w:sz w:val="20"/>
          <w:szCs w:val="20"/>
        </w:rPr>
        <w:t>9.</w:t>
      </w:r>
      <w:bookmarkEnd w:id="19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20" w:name="dieu_9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30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20"/>
    </w:p>
    <w:p w14:paraId="1F2E3471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30.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ngạch</w:t>
      </w:r>
      <w:proofErr w:type="spellEnd"/>
    </w:p>
    <w:p w14:paraId="4A9E833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07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kiêm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).</w:t>
      </w:r>
    </w:p>
    <w:p w14:paraId="3E1D4068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033CA4AF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lập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Ban ra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0D66F7">
        <w:rPr>
          <w:rFonts w:ascii="Arial" w:eastAsia="Times New Roman" w:hAnsi="Arial" w:cs="Arial"/>
          <w:sz w:val="20"/>
          <w:szCs w:val="20"/>
        </w:rPr>
        <w:t>Ban</w:t>
      </w:r>
      <w:proofErr w:type="gram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coi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".</w:t>
      </w:r>
    </w:p>
    <w:p w14:paraId="48868B51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" w:name="dieu_10"/>
      <w:r w:rsidRPr="000D66F7">
        <w:rPr>
          <w:rFonts w:ascii="Arial" w:eastAsia="Times New Roman" w:hAnsi="Arial" w:cs="Arial"/>
          <w:b/>
          <w:bCs/>
          <w:sz w:val="20"/>
          <w:szCs w:val="20"/>
        </w:rPr>
        <w:t>10.</w:t>
      </w:r>
      <w:bookmarkEnd w:id="21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22" w:name="dieu_10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33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22"/>
    </w:p>
    <w:p w14:paraId="6C9B6FAD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33.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vào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ngạch</w:t>
      </w:r>
      <w:proofErr w:type="spellEnd"/>
    </w:p>
    <w:p w14:paraId="22183B1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Căn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cứ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nhận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kết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quả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hoặc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xếp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".</w:t>
      </w:r>
    </w:p>
    <w:p w14:paraId="16A04D02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3" w:name="dieu_11"/>
      <w:r w:rsidRPr="000D66F7">
        <w:rPr>
          <w:rFonts w:ascii="Arial" w:eastAsia="Times New Roman" w:hAnsi="Arial" w:cs="Arial"/>
          <w:b/>
          <w:bCs/>
          <w:sz w:val="20"/>
          <w:szCs w:val="20"/>
        </w:rPr>
        <w:t>11.</w:t>
      </w:r>
      <w:bookmarkEnd w:id="23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24" w:name="dieu_11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41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24"/>
    </w:p>
    <w:p w14:paraId="1EB7032C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41.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việc</w:t>
      </w:r>
      <w:proofErr w:type="spellEnd"/>
    </w:p>
    <w:p w14:paraId="6E01605C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1.</w:t>
      </w:r>
      <w:r w:rsidRPr="000D66F7">
        <w:rPr>
          <w:rFonts w:ascii="Arial" w:eastAsia="Times New Roman" w:hAnsi="Arial" w:cs="Arial"/>
          <w:b/>
          <w:bCs/>
          <w:sz w:val="20"/>
          <w:szCs w:val="20"/>
        </w:rPr>
        <w:t> 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:</w:t>
      </w:r>
    </w:p>
    <w:p w14:paraId="45DA9E29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a)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nguyện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6EF264B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còn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đang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đảm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phù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640F51F8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c) 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không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đáp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ứng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yêu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cầu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đảm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.</w:t>
      </w:r>
    </w:p>
    <w:p w14:paraId="3AC870A2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30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30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xem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ra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3695D304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c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ra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tìm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2CCD03F7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4.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3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tiến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tục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cần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hồ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lịch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thôi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quyết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thôi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dõi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".</w:t>
      </w:r>
    </w:p>
    <w:p w14:paraId="501DE775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5" w:name="dieu_12"/>
      <w:r w:rsidRPr="000D66F7">
        <w:rPr>
          <w:rFonts w:ascii="Arial" w:eastAsia="Times New Roman" w:hAnsi="Arial" w:cs="Arial"/>
          <w:b/>
          <w:bCs/>
          <w:sz w:val="20"/>
          <w:szCs w:val="20"/>
        </w:rPr>
        <w:t>12.</w:t>
      </w:r>
      <w:bookmarkEnd w:id="25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26" w:name="dieu_12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8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46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26"/>
    </w:p>
    <w:p w14:paraId="26454D58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 "5.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đánh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dung,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hình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dựng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đặc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biệt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bậc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'';</w:t>
      </w:r>
    </w:p>
    <w:p w14:paraId="4BB4FAA4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lastRenderedPageBreak/>
        <w:t xml:space="preserve">''8.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miễn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xếp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giám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sát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;".</w:t>
      </w:r>
    </w:p>
    <w:p w14:paraId="79003EF7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7" w:name="dieu_13"/>
      <w:r w:rsidRPr="000D66F7">
        <w:rPr>
          <w:rFonts w:ascii="Arial" w:eastAsia="Times New Roman" w:hAnsi="Arial" w:cs="Arial"/>
          <w:b/>
          <w:bCs/>
          <w:sz w:val="20"/>
          <w:szCs w:val="20"/>
        </w:rPr>
        <w:t>13.</w:t>
      </w:r>
      <w:bookmarkEnd w:id="27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28" w:name="dieu_13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1, 2, 3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47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28"/>
    </w:p>
    <w:p w14:paraId="197C7E52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"1. 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Tổng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lượng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chất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lượng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đội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ngũ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miễn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trở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xuống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5806DB8A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1A212F7A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3. 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'';</w:t>
      </w:r>
    </w:p>
    <w:p w14:paraId="062715D8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...</w:t>
      </w:r>
    </w:p>
    <w:p w14:paraId="247DADA0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''5.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ướng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;''.</w:t>
      </w:r>
    </w:p>
    <w:p w14:paraId="047AA8C6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9" w:name="dieu_14"/>
      <w:r w:rsidRPr="000D66F7">
        <w:rPr>
          <w:rFonts w:ascii="Arial" w:eastAsia="Times New Roman" w:hAnsi="Arial" w:cs="Arial"/>
          <w:b/>
          <w:bCs/>
          <w:sz w:val="20"/>
          <w:szCs w:val="20"/>
        </w:rPr>
        <w:t>14.</w:t>
      </w:r>
      <w:bookmarkEnd w:id="29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30" w:name="dieu_14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6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49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30"/>
    </w:p>
    <w:p w14:paraId="70A958A4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"5.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2BBA8BEF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6.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Xây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dựng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đánh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giá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ngành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được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khi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ý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kiến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thống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nhất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".</w:t>
      </w:r>
    </w:p>
    <w:p w14:paraId="2E970925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1" w:name="dieu_15"/>
      <w:r w:rsidRPr="000D66F7">
        <w:rPr>
          <w:rFonts w:ascii="Arial" w:eastAsia="Times New Roman" w:hAnsi="Arial" w:cs="Arial"/>
          <w:b/>
          <w:bCs/>
          <w:sz w:val="20"/>
          <w:szCs w:val="20"/>
        </w:rPr>
        <w:t>15.</w:t>
      </w:r>
      <w:bookmarkEnd w:id="31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32" w:name="dieu_15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1, 2, 3, 6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8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50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32"/>
    </w:p>
    <w:p w14:paraId="7346A88E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''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tỉnh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gọi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tắt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tỉnh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:</w:t>
      </w:r>
    </w:p>
    <w:p w14:paraId="78BD40CD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ngũ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bàn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tỉnh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miễn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đư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ơng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0F6BE400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2. 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;</w:t>
      </w:r>
    </w:p>
    <w:p w14:paraId="39167A4A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3</w:t>
      </w:r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.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cho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tỉnh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chuyên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môn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tỉnh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huyện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'';</w:t>
      </w:r>
    </w:p>
    <w:p w14:paraId="2E5E3BC1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...</w:t>
      </w:r>
    </w:p>
    <w:p w14:paraId="702730E7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''6.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'';</w:t>
      </w:r>
    </w:p>
    <w:p w14:paraId="2A8C0D4C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...</w:t>
      </w:r>
    </w:p>
    <w:p w14:paraId="59E6EE5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''8. Thanh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kiểm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;".</w:t>
      </w:r>
    </w:p>
    <w:p w14:paraId="0B52F96B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3" w:name="dieu_16"/>
      <w:r w:rsidRPr="000D66F7">
        <w:rPr>
          <w:rFonts w:ascii="Arial" w:eastAsia="Times New Roman" w:hAnsi="Arial" w:cs="Arial"/>
          <w:b/>
          <w:bCs/>
          <w:sz w:val="20"/>
          <w:szCs w:val="20"/>
        </w:rPr>
        <w:t>16.</w:t>
      </w:r>
      <w:bookmarkEnd w:id="33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34" w:name="dieu_16_name"/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2, 4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51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116/2003/NĐ-CP:</w:t>
      </w:r>
      <w:bookmarkEnd w:id="34"/>
    </w:p>
    <w:p w14:paraId="093747F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"2.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phân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'';</w:t>
      </w:r>
    </w:p>
    <w:p w14:paraId="28D10DF3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...</w:t>
      </w:r>
    </w:p>
    <w:p w14:paraId="7710EBBB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''4.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thôi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bồi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phí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đào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;</w:t>
      </w:r>
    </w:p>
    <w:p w14:paraId="5F305793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5.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Khen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kỷ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bồi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thường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thiệt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vật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chất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khen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kỷ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".</w:t>
      </w:r>
    </w:p>
    <w:p w14:paraId="5C9C78F1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5" w:name="dieu_2"/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2.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Hiệu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lực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hành</w:t>
      </w:r>
      <w:bookmarkEnd w:id="35"/>
      <w:proofErr w:type="spellEnd"/>
    </w:p>
    <w:p w14:paraId="79D8ADE2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lastRenderedPageBreak/>
        <w:t xml:space="preserve">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hiệu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15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kể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  <w:r w:rsidRPr="000D66F7">
        <w:rPr>
          <w:rFonts w:ascii="Arial" w:eastAsia="Times New Roman" w:hAnsi="Arial" w:cs="Arial"/>
          <w:b/>
          <w:bCs/>
          <w:sz w:val="20"/>
          <w:szCs w:val="20"/>
        </w:rPr>
        <w:t> 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bỏ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</w:t>
      </w:r>
      <w:r w:rsidRPr="000D66F7">
        <w:rPr>
          <w:rFonts w:ascii="Arial" w:eastAsia="Times New Roman" w:hAnsi="Arial" w:cs="Arial"/>
          <w:sz w:val="20"/>
          <w:szCs w:val="20"/>
        </w:rPr>
        <w:softHyphen/>
        <w:t>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0893AC5E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Bãi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bỏ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24484FF7" w14:textId="77777777" w:rsidR="00ED0FEF" w:rsidRPr="000D66F7" w:rsidRDefault="00ED0FEF" w:rsidP="00ED0FE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6" w:name="dieu_3"/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3.</w:t>
      </w:r>
      <w:bookmarkEnd w:id="36"/>
      <w:r w:rsidRPr="000D66F7">
        <w:rPr>
          <w:rFonts w:ascii="Arial" w:eastAsia="Times New Roman" w:hAnsi="Arial" w:cs="Arial"/>
          <w:sz w:val="20"/>
          <w:szCs w:val="20"/>
        </w:rPr>
        <w:t> </w:t>
      </w:r>
      <w:bookmarkStart w:id="37" w:name="dieu_3_name"/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Trách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b/>
          <w:bCs/>
          <w:sz w:val="20"/>
          <w:szCs w:val="20"/>
        </w:rPr>
        <w:t>hành</w:t>
      </w:r>
      <w:bookmarkEnd w:id="37"/>
      <w:proofErr w:type="spellEnd"/>
    </w:p>
    <w:p w14:paraId="05308AF4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trì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phối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324F6C69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thẩm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căn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cứ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áp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xã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0D66F7">
        <w:rPr>
          <w:rFonts w:ascii="Arial" w:eastAsia="Times New Roman" w:hAnsi="Arial" w:cs="Arial"/>
          <w:sz w:val="20"/>
          <w:szCs w:val="20"/>
        </w:rPr>
        <w:t>.</w:t>
      </w:r>
    </w:p>
    <w:p w14:paraId="2BFED3B5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3. 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trưởng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Thủ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trưởng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ngang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Bộ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Thủ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trưởng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cơ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quan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Chính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phủ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Chủ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tịch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Ủy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ban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dân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tỉnh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,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thành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phố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trực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thuộc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Trung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ư</w:t>
      </w:r>
      <w:r w:rsidRPr="000D66F7">
        <w:rPr>
          <w:rFonts w:ascii="Arial" w:eastAsia="Times New Roman" w:hAnsi="Arial" w:cs="Arial"/>
          <w:spacing w:val="-4"/>
          <w:sz w:val="20"/>
          <w:szCs w:val="20"/>
        </w:rPr>
        <w:softHyphen/>
        <w:t>ơng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các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đơn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vị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sự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nghiệp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của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Nhà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nước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chịu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trách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nhiệm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thi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hành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Nghị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định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0D66F7">
        <w:rPr>
          <w:rFonts w:ascii="Arial" w:eastAsia="Times New Roman" w:hAnsi="Arial" w:cs="Arial"/>
          <w:spacing w:val="-4"/>
          <w:sz w:val="20"/>
          <w:szCs w:val="20"/>
        </w:rPr>
        <w:t>này</w:t>
      </w:r>
      <w:proofErr w:type="spellEnd"/>
      <w:r w:rsidRPr="000D66F7">
        <w:rPr>
          <w:rFonts w:ascii="Arial" w:eastAsia="Times New Roman" w:hAnsi="Arial" w:cs="Arial"/>
          <w:spacing w:val="-4"/>
          <w:sz w:val="20"/>
          <w:szCs w:val="20"/>
        </w:rPr>
        <w:t>./.</w:t>
      </w:r>
    </w:p>
    <w:p w14:paraId="6A0C9F3E" w14:textId="77777777" w:rsidR="00ED0FEF" w:rsidRPr="000D66F7" w:rsidRDefault="00ED0FEF" w:rsidP="00ED0F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0D66F7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89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690"/>
      </w:tblGrid>
      <w:tr w:rsidR="000D66F7" w:rsidRPr="000D66F7" w14:paraId="07CD7AED" w14:textId="77777777" w:rsidTr="00ED0FEF">
        <w:trPr>
          <w:tblCellSpacing w:w="0" w:type="dxa"/>
        </w:trPr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FB39" w14:textId="77777777" w:rsidR="00ED0FEF" w:rsidRPr="000D66F7" w:rsidRDefault="00ED0FEF" w:rsidP="00ED0FEF">
            <w:pPr>
              <w:spacing w:before="120" w:after="120" w:line="23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- Ban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Bí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thư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Trung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ương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Đảng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tướng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Phó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tướng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Chính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Bộ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cơ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quan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ngang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Bộ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> 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cơ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quan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thuộc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Chính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HĐND, UBND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tỉnh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> 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thành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phố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trực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thuộc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Trung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ương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Văn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phòng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Trung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ương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và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Ban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của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Đảng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Văn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phòng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tịch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nước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Hội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đồng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Dân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tộc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và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Ủy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ban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của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Quốc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hội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Văn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phòng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Quốc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hội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Viện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Kiểm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sát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nhân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dân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tối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cao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Toà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án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nhân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dân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tối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cao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Kiểm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toán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Nhà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nước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Cơ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quan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Trung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ương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của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đoàn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thể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Học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viện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Hành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chính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quốc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gia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VPCP: BTCN,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Phó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nhiệm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 Website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Chính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, Ban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Điều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hành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112,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> 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Người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phát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ngôn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của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tướng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Chính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phủ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> 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các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Vụ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Cục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đơn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vị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trực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thuộc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Công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báo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0D66F7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Lưu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Văn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thư</w:t>
            </w:r>
            <w:proofErr w:type="spellEnd"/>
            <w:r w:rsidRPr="000D66F7">
              <w:rPr>
                <w:rFonts w:ascii="Arial" w:eastAsia="Times New Roman" w:hAnsi="Arial" w:cs="Arial"/>
                <w:sz w:val="16"/>
                <w:szCs w:val="16"/>
              </w:rPr>
              <w:t>, TCCB (5b).</w:t>
            </w:r>
          </w:p>
        </w:tc>
        <w:tc>
          <w:tcPr>
            <w:tcW w:w="3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6A2F" w14:textId="77777777" w:rsidR="00ED0FEF" w:rsidRPr="000D66F7" w:rsidRDefault="00ED0FEF" w:rsidP="00ED0FEF">
            <w:pPr>
              <w:spacing w:after="120" w:line="396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</w:rPr>
            </w:pPr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TM. CHÍNH PHỦ</w:t>
            </w:r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br/>
              <w:t>THỦ TƯỚNG</w:t>
            </w:r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br/>
            </w:r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br/>
            </w:r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br/>
            </w:r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br/>
            </w:r>
            <w:r w:rsidRPr="000D66F7"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0"/>
                <w:szCs w:val="20"/>
              </w:rPr>
              <w:br/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Nguyễn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Tấn</w:t>
            </w:r>
            <w:proofErr w:type="spellEnd"/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0D66F7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Dũng</w:t>
            </w:r>
            <w:proofErr w:type="spellEnd"/>
          </w:p>
        </w:tc>
      </w:tr>
    </w:tbl>
    <w:p w14:paraId="075EB9CA" w14:textId="77777777" w:rsidR="00B75D57" w:rsidRPr="000D66F7" w:rsidRDefault="00B75D57"/>
    <w:sectPr w:rsidR="00B75D57" w:rsidRPr="000D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EF"/>
    <w:rsid w:val="000D66F7"/>
    <w:rsid w:val="00B75D57"/>
    <w:rsid w:val="00E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3C85"/>
  <w15:chartTrackingRefBased/>
  <w15:docId w15:val="{CB3F4456-89B9-44FC-A741-7A644DEA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D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0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2097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dcterms:created xsi:type="dcterms:W3CDTF">2022-07-26T07:17:00Z</dcterms:created>
  <dcterms:modified xsi:type="dcterms:W3CDTF">2022-08-29T07:19:00Z</dcterms:modified>
</cp:coreProperties>
</file>